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54" w:rsidRDefault="00D54FC6" w:rsidP="00E87A62">
      <w:pPr>
        <w:spacing w:after="0" w:line="240" w:lineRule="auto"/>
        <w:jc w:val="center"/>
        <w:rPr>
          <w:rFonts w:ascii="Times New Roman" w:hAnsi="Times New Roman" w:cs="Times New Roman"/>
          <w:b/>
          <w:sz w:val="28"/>
          <w:szCs w:val="28"/>
        </w:rPr>
      </w:pPr>
      <w:bookmarkStart w:id="0" w:name="_GoBack"/>
      <w:bookmarkEnd w:id="0"/>
      <w:r w:rsidRPr="00EC6C7C">
        <w:rPr>
          <w:rFonts w:ascii="Times New Roman" w:hAnsi="Times New Roman" w:cs="Times New Roman"/>
          <w:b/>
          <w:sz w:val="28"/>
          <w:szCs w:val="28"/>
        </w:rPr>
        <w:t xml:space="preserve">Раздел 10. </w:t>
      </w:r>
      <w:r w:rsidR="00A2719F" w:rsidRPr="00EC6C7C">
        <w:rPr>
          <w:rFonts w:ascii="Times New Roman" w:hAnsi="Times New Roman" w:cs="Times New Roman"/>
          <w:b/>
          <w:sz w:val="28"/>
          <w:szCs w:val="28"/>
        </w:rPr>
        <w:t>К</w:t>
      </w:r>
      <w:r w:rsidRPr="00EC6C7C">
        <w:rPr>
          <w:rFonts w:ascii="Times New Roman" w:hAnsi="Times New Roman" w:cs="Times New Roman"/>
          <w:b/>
          <w:sz w:val="28"/>
          <w:szCs w:val="28"/>
        </w:rPr>
        <w:t xml:space="preserve">ритерии оценки </w:t>
      </w:r>
      <w:r w:rsidR="0020451B">
        <w:rPr>
          <w:rFonts w:ascii="Times New Roman" w:hAnsi="Times New Roman" w:cs="Times New Roman"/>
          <w:b/>
          <w:sz w:val="28"/>
          <w:szCs w:val="28"/>
        </w:rPr>
        <w:t xml:space="preserve">заявок </w:t>
      </w:r>
      <w:r w:rsidR="001F1CBF" w:rsidRPr="003744BD">
        <w:rPr>
          <w:rFonts w:ascii="Times New Roman" w:hAnsi="Times New Roman" w:cs="Times New Roman"/>
          <w:b/>
          <w:sz w:val="28"/>
          <w:szCs w:val="28"/>
        </w:rPr>
        <w:t>на участие в открытом конкурсе в электронной форме</w:t>
      </w:r>
    </w:p>
    <w:p w:rsidR="00876ED1" w:rsidRPr="001F1CBF" w:rsidRDefault="00D54FC6" w:rsidP="00E87A62">
      <w:pPr>
        <w:spacing w:after="0" w:line="240" w:lineRule="auto"/>
        <w:jc w:val="center"/>
        <w:rPr>
          <w:rFonts w:ascii="Times New Roman" w:hAnsi="Times New Roman" w:cs="Times New Roman"/>
          <w:b/>
          <w:strike/>
          <w:sz w:val="28"/>
          <w:szCs w:val="28"/>
        </w:rPr>
      </w:pPr>
      <w:r w:rsidRPr="003744BD">
        <w:rPr>
          <w:rFonts w:ascii="Times New Roman" w:hAnsi="Times New Roman" w:cs="Times New Roman"/>
          <w:b/>
          <w:sz w:val="28"/>
          <w:szCs w:val="28"/>
        </w:rPr>
        <w:t>и величины</w:t>
      </w:r>
      <w:r w:rsidRPr="00DE6FA3">
        <w:rPr>
          <w:rFonts w:ascii="Times New Roman" w:hAnsi="Times New Roman" w:cs="Times New Roman"/>
          <w:b/>
          <w:sz w:val="28"/>
          <w:szCs w:val="28"/>
        </w:rPr>
        <w:t xml:space="preserve"> их значимостей</w:t>
      </w:r>
    </w:p>
    <w:p w:rsidR="00E2190F" w:rsidRPr="001F1CBF" w:rsidRDefault="00E2190F" w:rsidP="00E87A62">
      <w:pPr>
        <w:autoSpaceDE w:val="0"/>
        <w:autoSpaceDN w:val="0"/>
        <w:adjustRightInd w:val="0"/>
        <w:spacing w:after="0" w:line="240" w:lineRule="auto"/>
        <w:ind w:right="-2"/>
        <w:jc w:val="both"/>
        <w:outlineLvl w:val="0"/>
        <w:rPr>
          <w:rFonts w:ascii="Times New Roman" w:hAnsi="Times New Roman" w:cs="Times New Roman"/>
          <w:bCs/>
          <w:i/>
          <w:strike/>
          <w:sz w:val="28"/>
          <w:szCs w:val="28"/>
        </w:rPr>
      </w:pPr>
    </w:p>
    <w:p w:rsidR="0020451B" w:rsidRPr="0020451B" w:rsidRDefault="00E1458D" w:rsidP="00E87A62">
      <w:pPr>
        <w:tabs>
          <w:tab w:val="left" w:pos="3612"/>
        </w:tabs>
        <w:autoSpaceDE w:val="0"/>
        <w:autoSpaceDN w:val="0"/>
        <w:adjustRightInd w:val="0"/>
        <w:spacing w:after="0" w:line="240" w:lineRule="auto"/>
        <w:ind w:right="-28" w:firstLine="709"/>
        <w:contextualSpacing/>
        <w:jc w:val="both"/>
        <w:rPr>
          <w:rFonts w:ascii="Times New Roman" w:hAnsi="Times New Roman" w:cs="Times New Roman"/>
          <w:iCs/>
          <w:sz w:val="28"/>
          <w:szCs w:val="28"/>
        </w:rPr>
      </w:pPr>
      <w:r w:rsidRPr="00890340">
        <w:rPr>
          <w:rFonts w:ascii="Times New Roman" w:hAnsi="Times New Roman" w:cs="Times New Roman"/>
          <w:iCs/>
          <w:sz w:val="28"/>
          <w:szCs w:val="28"/>
        </w:rPr>
        <w:t xml:space="preserve"> Сумма величин значимости критериев оценки заявок, установленных в конкурсной документации, составляет 100 процентов. </w:t>
      </w:r>
      <w:r w:rsidR="0020451B">
        <w:rPr>
          <w:rFonts w:ascii="Times New Roman" w:hAnsi="Times New Roman" w:cs="Times New Roman"/>
          <w:iCs/>
          <w:sz w:val="28"/>
          <w:szCs w:val="28"/>
        </w:rPr>
        <w:t xml:space="preserve">Порядок оценки </w:t>
      </w:r>
      <w:r w:rsidR="0020451B" w:rsidRPr="0020451B">
        <w:rPr>
          <w:rFonts w:ascii="Times New Roman" w:hAnsi="Times New Roman" w:cs="Times New Roman"/>
          <w:iCs/>
          <w:sz w:val="28"/>
          <w:szCs w:val="28"/>
        </w:rPr>
        <w:t>заявок на участие в открытом конкурсе в электронной форме</w:t>
      </w:r>
      <w:r w:rsidR="0020451B">
        <w:rPr>
          <w:rFonts w:ascii="Times New Roman" w:hAnsi="Times New Roman" w:cs="Times New Roman"/>
          <w:iCs/>
          <w:sz w:val="28"/>
          <w:szCs w:val="28"/>
        </w:rPr>
        <w:t xml:space="preserve"> и применяемые термины установлены в Разделе 9 «Порядок рассмотрения и </w:t>
      </w:r>
      <w:r w:rsidR="0020451B" w:rsidRPr="0020451B">
        <w:rPr>
          <w:rFonts w:ascii="Times New Roman" w:hAnsi="Times New Roman" w:cs="Times New Roman"/>
          <w:iCs/>
          <w:sz w:val="28"/>
          <w:szCs w:val="28"/>
        </w:rPr>
        <w:t>оценки заявок на участие в открытом конкурсе в электронной форме</w:t>
      </w:r>
      <w:r w:rsidR="0020451B">
        <w:rPr>
          <w:rFonts w:ascii="Times New Roman" w:hAnsi="Times New Roman" w:cs="Times New Roman"/>
          <w:iCs/>
          <w:sz w:val="28"/>
          <w:szCs w:val="28"/>
        </w:rPr>
        <w:t>»</w:t>
      </w:r>
      <w:r w:rsidR="0020451B" w:rsidRPr="0020451B">
        <w:rPr>
          <w:rFonts w:ascii="Times New Roman" w:hAnsi="Times New Roman" w:cs="Times New Roman"/>
          <w:iCs/>
          <w:sz w:val="28"/>
          <w:szCs w:val="28"/>
        </w:rPr>
        <w:t xml:space="preserve"> настоящей документации</w:t>
      </w:r>
      <w:r w:rsidR="0020451B">
        <w:rPr>
          <w:rFonts w:ascii="Times New Roman" w:hAnsi="Times New Roman" w:cs="Times New Roman"/>
          <w:iCs/>
          <w:sz w:val="28"/>
          <w:szCs w:val="28"/>
        </w:rPr>
        <w:t>.</w:t>
      </w:r>
    </w:p>
    <w:p w:rsidR="00766A94" w:rsidRPr="001F1CBF" w:rsidRDefault="00766A94" w:rsidP="00E87A62">
      <w:pPr>
        <w:tabs>
          <w:tab w:val="left" w:pos="3612"/>
        </w:tabs>
        <w:autoSpaceDE w:val="0"/>
        <w:autoSpaceDN w:val="0"/>
        <w:adjustRightInd w:val="0"/>
        <w:spacing w:after="0" w:line="240" w:lineRule="auto"/>
        <w:ind w:right="-28" w:firstLine="709"/>
        <w:contextualSpacing/>
        <w:jc w:val="both"/>
        <w:rPr>
          <w:rFonts w:ascii="Times New Roman" w:hAnsi="Times New Roman" w:cs="Times New Roman"/>
          <w:iCs/>
          <w:strike/>
          <w:sz w:val="28"/>
          <w:szCs w:val="28"/>
        </w:rPr>
      </w:pPr>
    </w:p>
    <w:tbl>
      <w:tblPr>
        <w:tblW w:w="148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3"/>
        <w:gridCol w:w="2552"/>
        <w:gridCol w:w="1559"/>
        <w:gridCol w:w="1842"/>
        <w:gridCol w:w="2126"/>
        <w:gridCol w:w="1984"/>
      </w:tblGrid>
      <w:tr w:rsidR="00A95EDB" w:rsidRPr="00381512" w:rsidTr="00E67C54">
        <w:trPr>
          <w:trHeight w:val="426"/>
        </w:trPr>
        <w:tc>
          <w:tcPr>
            <w:tcW w:w="4813" w:type="dxa"/>
            <w:vAlign w:val="center"/>
          </w:tcPr>
          <w:p w:rsidR="00A95EDB" w:rsidRPr="00442B4E" w:rsidRDefault="00A95EDB" w:rsidP="00876ED1">
            <w:pPr>
              <w:widowControl w:val="0"/>
              <w:rPr>
                <w:rFonts w:ascii="Times New Roman" w:hAnsi="Times New Roman" w:cs="Times New Roman"/>
                <w:iCs/>
                <w:sz w:val="26"/>
                <w:szCs w:val="26"/>
              </w:rPr>
            </w:pPr>
            <w:r w:rsidRPr="00442B4E">
              <w:rPr>
                <w:rFonts w:ascii="Times New Roman" w:hAnsi="Times New Roman" w:cs="Times New Roman"/>
                <w:iCs/>
                <w:sz w:val="26"/>
                <w:szCs w:val="26"/>
              </w:rPr>
              <w:t>Критерии оценки заявок</w:t>
            </w:r>
          </w:p>
        </w:tc>
        <w:tc>
          <w:tcPr>
            <w:tcW w:w="2552" w:type="dxa"/>
          </w:tcPr>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Максимальная оценка в баллах по критерию</w:t>
            </w:r>
          </w:p>
        </w:tc>
        <w:tc>
          <w:tcPr>
            <w:tcW w:w="1559" w:type="dxa"/>
          </w:tcPr>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 xml:space="preserve">Значимость </w:t>
            </w:r>
          </w:p>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критерия,</w:t>
            </w:r>
          </w:p>
        </w:tc>
        <w:tc>
          <w:tcPr>
            <w:tcW w:w="1842" w:type="dxa"/>
          </w:tcPr>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 xml:space="preserve">Коэффициент </w:t>
            </w:r>
          </w:p>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значимости</w:t>
            </w:r>
          </w:p>
        </w:tc>
        <w:tc>
          <w:tcPr>
            <w:tcW w:w="2126" w:type="dxa"/>
          </w:tcPr>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Максимальный рейтинг по критерию</w:t>
            </w:r>
          </w:p>
        </w:tc>
        <w:tc>
          <w:tcPr>
            <w:tcW w:w="1984" w:type="dxa"/>
          </w:tcPr>
          <w:p w:rsidR="00A95EDB" w:rsidRPr="00442B4E" w:rsidRDefault="00A95EDB" w:rsidP="00876ED1">
            <w:pPr>
              <w:widowControl w:val="0"/>
              <w:spacing w:after="0" w:line="240" w:lineRule="auto"/>
              <w:jc w:val="center"/>
              <w:rPr>
                <w:rFonts w:ascii="Times New Roman" w:hAnsi="Times New Roman" w:cs="Times New Roman"/>
                <w:iCs/>
                <w:sz w:val="26"/>
                <w:szCs w:val="26"/>
              </w:rPr>
            </w:pPr>
            <w:r w:rsidRPr="00442B4E">
              <w:rPr>
                <w:rFonts w:ascii="Times New Roman" w:hAnsi="Times New Roman" w:cs="Times New Roman"/>
                <w:iCs/>
                <w:sz w:val="26"/>
                <w:szCs w:val="26"/>
              </w:rPr>
              <w:t>Максимальный итоговый рейтинг</w:t>
            </w:r>
          </w:p>
        </w:tc>
      </w:tr>
      <w:tr w:rsidR="00A95EDB" w:rsidRPr="00381512" w:rsidTr="00E67C54">
        <w:trPr>
          <w:trHeight w:val="70"/>
        </w:trPr>
        <w:tc>
          <w:tcPr>
            <w:tcW w:w="4813" w:type="dxa"/>
          </w:tcPr>
          <w:p w:rsidR="00A95EDB" w:rsidRPr="00381512" w:rsidRDefault="00A95EDB" w:rsidP="00381512">
            <w:pPr>
              <w:spacing w:line="240" w:lineRule="auto"/>
              <w:ind w:firstLine="34"/>
              <w:jc w:val="both"/>
              <w:rPr>
                <w:rFonts w:ascii="Times New Roman" w:hAnsi="Times New Roman" w:cs="Times New Roman"/>
                <w:b/>
                <w:bCs/>
                <w:sz w:val="27"/>
                <w:szCs w:val="27"/>
              </w:rPr>
            </w:pPr>
            <w:r w:rsidRPr="00381512">
              <w:rPr>
                <w:rFonts w:ascii="Times New Roman" w:hAnsi="Times New Roman" w:cs="Times New Roman"/>
                <w:sz w:val="27"/>
                <w:szCs w:val="27"/>
              </w:rPr>
              <w:t>1. Цена контракта (стоимостн</w:t>
            </w:r>
            <w:r w:rsidR="00381512" w:rsidRPr="00381512">
              <w:rPr>
                <w:rFonts w:ascii="Times New Roman" w:hAnsi="Times New Roman" w:cs="Times New Roman"/>
                <w:sz w:val="27"/>
                <w:szCs w:val="27"/>
              </w:rPr>
              <w:t>о</w:t>
            </w:r>
            <w:r w:rsidRPr="00381512">
              <w:rPr>
                <w:rFonts w:ascii="Times New Roman" w:hAnsi="Times New Roman" w:cs="Times New Roman"/>
                <w:sz w:val="27"/>
                <w:szCs w:val="27"/>
              </w:rPr>
              <w:t>й)</w:t>
            </w:r>
          </w:p>
        </w:tc>
        <w:tc>
          <w:tcPr>
            <w:tcW w:w="2552" w:type="dxa"/>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100 баллов</w:t>
            </w:r>
          </w:p>
        </w:tc>
        <w:tc>
          <w:tcPr>
            <w:tcW w:w="1559" w:type="dxa"/>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60%</w:t>
            </w:r>
          </w:p>
        </w:tc>
        <w:tc>
          <w:tcPr>
            <w:tcW w:w="1842" w:type="dxa"/>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0,6</w:t>
            </w:r>
          </w:p>
        </w:tc>
        <w:tc>
          <w:tcPr>
            <w:tcW w:w="2126" w:type="dxa"/>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60 баллов</w:t>
            </w:r>
          </w:p>
        </w:tc>
        <w:tc>
          <w:tcPr>
            <w:tcW w:w="1984" w:type="dxa"/>
            <w:vMerge w:val="restart"/>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100 баллов</w:t>
            </w:r>
          </w:p>
        </w:tc>
      </w:tr>
      <w:tr w:rsidR="00A95EDB" w:rsidRPr="00381512" w:rsidTr="00E67C54">
        <w:trPr>
          <w:trHeight w:val="963"/>
        </w:trPr>
        <w:tc>
          <w:tcPr>
            <w:tcW w:w="4813" w:type="dxa"/>
          </w:tcPr>
          <w:p w:rsidR="00A95EDB" w:rsidRPr="00381512" w:rsidRDefault="00A95EDB" w:rsidP="00EB3CE2">
            <w:pPr>
              <w:widowControl w:val="0"/>
              <w:spacing w:line="240" w:lineRule="auto"/>
              <w:ind w:firstLine="34"/>
              <w:jc w:val="both"/>
              <w:rPr>
                <w:rFonts w:ascii="Times New Roman" w:hAnsi="Times New Roman" w:cs="Times New Roman"/>
                <w:sz w:val="27"/>
                <w:szCs w:val="27"/>
              </w:rPr>
            </w:pPr>
            <w:r w:rsidRPr="00381512">
              <w:rPr>
                <w:rFonts w:ascii="Times New Roman" w:hAnsi="Times New Roman" w:cs="Times New Roman"/>
                <w:sz w:val="27"/>
                <w:szCs w:val="27"/>
              </w:rPr>
              <w:t>2. Качественные, функциональные и экологические характеристики объекта закупок</w:t>
            </w:r>
            <w:r w:rsidR="00666E19" w:rsidRPr="00381512">
              <w:rPr>
                <w:rFonts w:ascii="Times New Roman" w:hAnsi="Times New Roman" w:cs="Times New Roman"/>
                <w:sz w:val="27"/>
                <w:szCs w:val="27"/>
              </w:rPr>
              <w:t xml:space="preserve"> (нестоимостной)</w:t>
            </w:r>
          </w:p>
        </w:tc>
        <w:tc>
          <w:tcPr>
            <w:tcW w:w="2552" w:type="dxa"/>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100 баллов</w:t>
            </w:r>
          </w:p>
        </w:tc>
        <w:tc>
          <w:tcPr>
            <w:tcW w:w="1559" w:type="dxa"/>
            <w:vAlign w:val="center"/>
          </w:tcPr>
          <w:p w:rsidR="00A95EDB" w:rsidRPr="00381512" w:rsidRDefault="00902A74" w:rsidP="00876ED1">
            <w:pPr>
              <w:widowControl w:val="0"/>
              <w:jc w:val="center"/>
              <w:rPr>
                <w:rFonts w:ascii="Times New Roman" w:hAnsi="Times New Roman" w:cs="Times New Roman"/>
                <w:sz w:val="27"/>
                <w:szCs w:val="27"/>
              </w:rPr>
            </w:pPr>
            <w:r>
              <w:rPr>
                <w:rFonts w:ascii="Times New Roman" w:hAnsi="Times New Roman" w:cs="Times New Roman"/>
                <w:sz w:val="27"/>
                <w:szCs w:val="27"/>
              </w:rPr>
              <w:t>3</w:t>
            </w:r>
            <w:r w:rsidR="00A61600">
              <w:rPr>
                <w:rFonts w:ascii="Times New Roman" w:hAnsi="Times New Roman" w:cs="Times New Roman"/>
                <w:sz w:val="27"/>
                <w:szCs w:val="27"/>
              </w:rPr>
              <w:t>0</w:t>
            </w:r>
            <w:r w:rsidR="00A95EDB" w:rsidRPr="00381512">
              <w:rPr>
                <w:rFonts w:ascii="Times New Roman" w:hAnsi="Times New Roman" w:cs="Times New Roman"/>
                <w:sz w:val="27"/>
                <w:szCs w:val="27"/>
              </w:rPr>
              <w:t>%</w:t>
            </w:r>
          </w:p>
        </w:tc>
        <w:tc>
          <w:tcPr>
            <w:tcW w:w="1842" w:type="dxa"/>
            <w:vAlign w:val="center"/>
          </w:tcPr>
          <w:p w:rsidR="00A95EDB" w:rsidRPr="00381512" w:rsidRDefault="00A95EDB" w:rsidP="00902A74">
            <w:pPr>
              <w:widowControl w:val="0"/>
              <w:jc w:val="center"/>
              <w:rPr>
                <w:rFonts w:ascii="Times New Roman" w:hAnsi="Times New Roman" w:cs="Times New Roman"/>
                <w:sz w:val="27"/>
                <w:szCs w:val="27"/>
              </w:rPr>
            </w:pPr>
            <w:r w:rsidRPr="00381512">
              <w:rPr>
                <w:rFonts w:ascii="Times New Roman" w:hAnsi="Times New Roman" w:cs="Times New Roman"/>
                <w:sz w:val="27"/>
                <w:szCs w:val="27"/>
              </w:rPr>
              <w:t>0,</w:t>
            </w:r>
            <w:r w:rsidR="00902A74">
              <w:rPr>
                <w:rFonts w:ascii="Times New Roman" w:hAnsi="Times New Roman" w:cs="Times New Roman"/>
                <w:sz w:val="27"/>
                <w:szCs w:val="27"/>
              </w:rPr>
              <w:t>3</w:t>
            </w:r>
          </w:p>
        </w:tc>
        <w:tc>
          <w:tcPr>
            <w:tcW w:w="2126" w:type="dxa"/>
            <w:vAlign w:val="center"/>
          </w:tcPr>
          <w:p w:rsidR="00A95EDB" w:rsidRPr="00381512" w:rsidRDefault="00902A74" w:rsidP="00876ED1">
            <w:pPr>
              <w:widowControl w:val="0"/>
              <w:jc w:val="center"/>
              <w:rPr>
                <w:rFonts w:ascii="Times New Roman" w:hAnsi="Times New Roman" w:cs="Times New Roman"/>
                <w:sz w:val="27"/>
                <w:szCs w:val="27"/>
              </w:rPr>
            </w:pPr>
            <w:r>
              <w:rPr>
                <w:rFonts w:ascii="Times New Roman" w:hAnsi="Times New Roman" w:cs="Times New Roman"/>
                <w:sz w:val="27"/>
                <w:szCs w:val="27"/>
              </w:rPr>
              <w:t>3</w:t>
            </w:r>
            <w:r w:rsidR="00360B0D">
              <w:rPr>
                <w:rFonts w:ascii="Times New Roman" w:hAnsi="Times New Roman" w:cs="Times New Roman"/>
                <w:sz w:val="27"/>
                <w:szCs w:val="27"/>
              </w:rPr>
              <w:t>0</w:t>
            </w:r>
            <w:r w:rsidR="00A95EDB" w:rsidRPr="00381512">
              <w:rPr>
                <w:rFonts w:ascii="Times New Roman" w:hAnsi="Times New Roman" w:cs="Times New Roman"/>
                <w:sz w:val="27"/>
                <w:szCs w:val="27"/>
              </w:rPr>
              <w:t xml:space="preserve"> баллов</w:t>
            </w:r>
          </w:p>
        </w:tc>
        <w:tc>
          <w:tcPr>
            <w:tcW w:w="1984" w:type="dxa"/>
            <w:vMerge/>
          </w:tcPr>
          <w:p w:rsidR="00A95EDB" w:rsidRPr="00381512" w:rsidRDefault="00A95EDB" w:rsidP="00876ED1">
            <w:pPr>
              <w:widowControl w:val="0"/>
              <w:jc w:val="center"/>
              <w:rPr>
                <w:rFonts w:ascii="Times New Roman" w:hAnsi="Times New Roman" w:cs="Times New Roman"/>
                <w:sz w:val="27"/>
                <w:szCs w:val="27"/>
              </w:rPr>
            </w:pPr>
          </w:p>
        </w:tc>
      </w:tr>
      <w:tr w:rsidR="00A95EDB" w:rsidRPr="00381512" w:rsidTr="00E67C54">
        <w:trPr>
          <w:trHeight w:val="2108"/>
        </w:trPr>
        <w:tc>
          <w:tcPr>
            <w:tcW w:w="4813" w:type="dxa"/>
          </w:tcPr>
          <w:p w:rsidR="00A95EDB" w:rsidRPr="00381512" w:rsidRDefault="00A95EDB" w:rsidP="00367781">
            <w:pPr>
              <w:widowControl w:val="0"/>
              <w:spacing w:line="240" w:lineRule="auto"/>
              <w:ind w:firstLine="34"/>
              <w:jc w:val="both"/>
              <w:rPr>
                <w:rFonts w:ascii="Times New Roman" w:hAnsi="Times New Roman" w:cs="Times New Roman"/>
                <w:sz w:val="27"/>
                <w:szCs w:val="27"/>
              </w:rPr>
            </w:pPr>
            <w:r w:rsidRPr="00381512">
              <w:rPr>
                <w:rFonts w:ascii="Times New Roman" w:hAnsi="Times New Roman" w:cs="Times New Roman"/>
                <w:sz w:val="27"/>
                <w:szCs w:val="27"/>
              </w:rPr>
              <w:t xml:space="preserve">3. Квалификация участников </w:t>
            </w:r>
            <w:r w:rsidRPr="00381512">
              <w:rPr>
                <w:rFonts w:ascii="Times New Roman" w:hAnsi="Times New Roman" w:cs="Times New Roman"/>
                <w:sz w:val="27"/>
                <w:szCs w:val="27"/>
                <w:shd w:val="clear" w:color="auto" w:fill="FFFFFF"/>
              </w:rPr>
              <w:t>закупки</w:t>
            </w:r>
            <w:r w:rsidRPr="00381512">
              <w:rPr>
                <w:rFonts w:ascii="Times New Roman" w:hAnsi="Times New Roman" w:cs="Times New Roman"/>
                <w:sz w:val="27"/>
                <w:szCs w:val="27"/>
              </w:rPr>
              <w:t xml:space="preserve">,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00666E19" w:rsidRPr="00381512">
              <w:rPr>
                <w:rFonts w:ascii="Times New Roman" w:hAnsi="Times New Roman" w:cs="Times New Roman"/>
                <w:sz w:val="27"/>
                <w:szCs w:val="27"/>
              </w:rPr>
              <w:t>квалификации (нестоимостно</w:t>
            </w:r>
            <w:r w:rsidRPr="00381512">
              <w:rPr>
                <w:rFonts w:ascii="Times New Roman" w:hAnsi="Times New Roman" w:cs="Times New Roman"/>
                <w:sz w:val="27"/>
                <w:szCs w:val="27"/>
              </w:rPr>
              <w:t>й)</w:t>
            </w:r>
          </w:p>
        </w:tc>
        <w:tc>
          <w:tcPr>
            <w:tcW w:w="2552" w:type="dxa"/>
            <w:vAlign w:val="center"/>
          </w:tcPr>
          <w:p w:rsidR="00A95EDB" w:rsidRPr="00381512" w:rsidRDefault="00A95EDB" w:rsidP="00876ED1">
            <w:pPr>
              <w:widowControl w:val="0"/>
              <w:jc w:val="center"/>
              <w:rPr>
                <w:rFonts w:ascii="Times New Roman" w:hAnsi="Times New Roman" w:cs="Times New Roman"/>
                <w:sz w:val="27"/>
                <w:szCs w:val="27"/>
              </w:rPr>
            </w:pPr>
            <w:r w:rsidRPr="00381512">
              <w:rPr>
                <w:rFonts w:ascii="Times New Roman" w:hAnsi="Times New Roman" w:cs="Times New Roman"/>
                <w:sz w:val="27"/>
                <w:szCs w:val="27"/>
              </w:rPr>
              <w:t>100 баллов</w:t>
            </w:r>
          </w:p>
        </w:tc>
        <w:tc>
          <w:tcPr>
            <w:tcW w:w="1559" w:type="dxa"/>
            <w:vAlign w:val="center"/>
          </w:tcPr>
          <w:p w:rsidR="00A95EDB" w:rsidRPr="00381512" w:rsidRDefault="00902A74" w:rsidP="00876ED1">
            <w:pPr>
              <w:widowControl w:val="0"/>
              <w:jc w:val="center"/>
              <w:rPr>
                <w:rFonts w:ascii="Times New Roman" w:hAnsi="Times New Roman" w:cs="Times New Roman"/>
                <w:sz w:val="27"/>
                <w:szCs w:val="27"/>
              </w:rPr>
            </w:pPr>
            <w:r>
              <w:rPr>
                <w:rFonts w:ascii="Times New Roman" w:hAnsi="Times New Roman" w:cs="Times New Roman"/>
                <w:sz w:val="27"/>
                <w:szCs w:val="27"/>
              </w:rPr>
              <w:t>1</w:t>
            </w:r>
            <w:r w:rsidR="00A61600">
              <w:rPr>
                <w:rFonts w:ascii="Times New Roman" w:hAnsi="Times New Roman" w:cs="Times New Roman"/>
                <w:sz w:val="27"/>
                <w:szCs w:val="27"/>
              </w:rPr>
              <w:t>0</w:t>
            </w:r>
            <w:r w:rsidR="00A95EDB" w:rsidRPr="00381512">
              <w:rPr>
                <w:rFonts w:ascii="Times New Roman" w:hAnsi="Times New Roman" w:cs="Times New Roman"/>
                <w:sz w:val="27"/>
                <w:szCs w:val="27"/>
              </w:rPr>
              <w:t>%</w:t>
            </w:r>
          </w:p>
        </w:tc>
        <w:tc>
          <w:tcPr>
            <w:tcW w:w="1842" w:type="dxa"/>
            <w:vAlign w:val="center"/>
          </w:tcPr>
          <w:p w:rsidR="00A95EDB" w:rsidRPr="00381512" w:rsidRDefault="00A95EDB" w:rsidP="00902A74">
            <w:pPr>
              <w:widowControl w:val="0"/>
              <w:jc w:val="center"/>
              <w:rPr>
                <w:rFonts w:ascii="Times New Roman" w:hAnsi="Times New Roman" w:cs="Times New Roman"/>
                <w:sz w:val="27"/>
                <w:szCs w:val="27"/>
              </w:rPr>
            </w:pPr>
            <w:r w:rsidRPr="00381512">
              <w:rPr>
                <w:rFonts w:ascii="Times New Roman" w:hAnsi="Times New Roman" w:cs="Times New Roman"/>
                <w:sz w:val="27"/>
                <w:szCs w:val="27"/>
              </w:rPr>
              <w:t>0</w:t>
            </w:r>
            <w:r w:rsidR="00106D3C">
              <w:rPr>
                <w:rFonts w:ascii="Times New Roman" w:hAnsi="Times New Roman" w:cs="Times New Roman"/>
                <w:sz w:val="27"/>
                <w:szCs w:val="27"/>
              </w:rPr>
              <w:t>,</w:t>
            </w:r>
            <w:r w:rsidR="00902A74">
              <w:rPr>
                <w:rFonts w:ascii="Times New Roman" w:hAnsi="Times New Roman" w:cs="Times New Roman"/>
                <w:sz w:val="27"/>
                <w:szCs w:val="27"/>
              </w:rPr>
              <w:t>1</w:t>
            </w:r>
          </w:p>
        </w:tc>
        <w:tc>
          <w:tcPr>
            <w:tcW w:w="2126" w:type="dxa"/>
            <w:vAlign w:val="center"/>
          </w:tcPr>
          <w:p w:rsidR="00A95EDB" w:rsidRPr="00381512" w:rsidRDefault="00902A74" w:rsidP="00876ED1">
            <w:pPr>
              <w:widowControl w:val="0"/>
              <w:jc w:val="center"/>
              <w:rPr>
                <w:rFonts w:ascii="Times New Roman" w:hAnsi="Times New Roman" w:cs="Times New Roman"/>
                <w:sz w:val="27"/>
                <w:szCs w:val="27"/>
              </w:rPr>
            </w:pPr>
            <w:r>
              <w:rPr>
                <w:rFonts w:ascii="Times New Roman" w:hAnsi="Times New Roman" w:cs="Times New Roman"/>
                <w:sz w:val="27"/>
                <w:szCs w:val="27"/>
              </w:rPr>
              <w:t>1</w:t>
            </w:r>
            <w:r w:rsidR="00360B0D">
              <w:rPr>
                <w:rFonts w:ascii="Times New Roman" w:hAnsi="Times New Roman" w:cs="Times New Roman"/>
                <w:sz w:val="27"/>
                <w:szCs w:val="27"/>
              </w:rPr>
              <w:t>0</w:t>
            </w:r>
            <w:r w:rsidR="00A95EDB" w:rsidRPr="00381512">
              <w:rPr>
                <w:rFonts w:ascii="Times New Roman" w:hAnsi="Times New Roman" w:cs="Times New Roman"/>
                <w:sz w:val="27"/>
                <w:szCs w:val="27"/>
              </w:rPr>
              <w:t xml:space="preserve"> баллов</w:t>
            </w:r>
          </w:p>
        </w:tc>
        <w:tc>
          <w:tcPr>
            <w:tcW w:w="1984" w:type="dxa"/>
            <w:vMerge/>
          </w:tcPr>
          <w:p w:rsidR="00A95EDB" w:rsidRPr="00381512" w:rsidRDefault="00A95EDB" w:rsidP="00876ED1">
            <w:pPr>
              <w:widowControl w:val="0"/>
              <w:jc w:val="center"/>
              <w:rPr>
                <w:rFonts w:ascii="Times New Roman" w:hAnsi="Times New Roman" w:cs="Times New Roman"/>
                <w:sz w:val="27"/>
                <w:szCs w:val="27"/>
              </w:rPr>
            </w:pPr>
          </w:p>
        </w:tc>
      </w:tr>
    </w:tbl>
    <w:p w:rsidR="00EB3CE2" w:rsidRDefault="00EB3CE2" w:rsidP="00EB3CE2">
      <w:pPr>
        <w:widowControl w:val="0"/>
        <w:spacing w:after="0" w:line="240" w:lineRule="auto"/>
        <w:ind w:left="709"/>
        <w:jc w:val="both"/>
        <w:outlineLvl w:val="0"/>
        <w:rPr>
          <w:rFonts w:ascii="Times New Roman" w:hAnsi="Times New Roman" w:cs="Times New Roman"/>
          <w:b/>
          <w:bCs/>
          <w:sz w:val="28"/>
          <w:szCs w:val="28"/>
        </w:rPr>
      </w:pPr>
    </w:p>
    <w:p w:rsidR="00EC6C7C" w:rsidRPr="00EB3CE2" w:rsidRDefault="00EB3CE2" w:rsidP="00EB3CE2">
      <w:pPr>
        <w:widowControl w:val="0"/>
        <w:spacing w:after="0" w:line="240" w:lineRule="auto"/>
        <w:ind w:left="709"/>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442B4E" w:rsidRPr="00EB3CE2">
        <w:rPr>
          <w:rFonts w:ascii="Times New Roman" w:hAnsi="Times New Roman" w:cs="Times New Roman"/>
          <w:b/>
          <w:bCs/>
          <w:sz w:val="28"/>
          <w:szCs w:val="28"/>
        </w:rPr>
        <w:t>К</w:t>
      </w:r>
      <w:r w:rsidR="00EC6C7C" w:rsidRPr="00EB3CE2">
        <w:rPr>
          <w:rFonts w:ascii="Times New Roman" w:hAnsi="Times New Roman" w:cs="Times New Roman"/>
          <w:b/>
          <w:bCs/>
          <w:sz w:val="28"/>
          <w:szCs w:val="28"/>
        </w:rPr>
        <w:t>ритери</w:t>
      </w:r>
      <w:r w:rsidR="00442B4E" w:rsidRPr="00EB3CE2">
        <w:rPr>
          <w:rFonts w:ascii="Times New Roman" w:hAnsi="Times New Roman" w:cs="Times New Roman"/>
          <w:b/>
          <w:bCs/>
          <w:sz w:val="28"/>
          <w:szCs w:val="28"/>
        </w:rPr>
        <w:t>й</w:t>
      </w:r>
      <w:r w:rsidR="00E87A62" w:rsidRPr="00EB3CE2">
        <w:rPr>
          <w:rFonts w:ascii="Times New Roman" w:hAnsi="Times New Roman" w:cs="Times New Roman"/>
          <w:b/>
          <w:bCs/>
          <w:sz w:val="28"/>
          <w:szCs w:val="28"/>
        </w:rPr>
        <w:t>«</w:t>
      </w:r>
      <w:r w:rsidR="00EC6C7C" w:rsidRPr="00EB3CE2">
        <w:rPr>
          <w:rFonts w:ascii="Times New Roman" w:hAnsi="Times New Roman" w:cs="Times New Roman"/>
          <w:b/>
          <w:bCs/>
          <w:sz w:val="28"/>
          <w:szCs w:val="28"/>
        </w:rPr>
        <w:t>Цена контракта</w:t>
      </w:r>
      <w:r w:rsidR="00E87A62" w:rsidRPr="00EB3CE2">
        <w:rPr>
          <w:rFonts w:ascii="Times New Roman" w:hAnsi="Times New Roman" w:cs="Times New Roman"/>
          <w:b/>
          <w:bCs/>
          <w:sz w:val="28"/>
          <w:szCs w:val="28"/>
        </w:rPr>
        <w:t>»</w:t>
      </w:r>
      <w:r w:rsidR="00EC6C7C" w:rsidRPr="00EB3CE2">
        <w:rPr>
          <w:rFonts w:ascii="Times New Roman" w:hAnsi="Times New Roman" w:cs="Times New Roman"/>
          <w:b/>
          <w:bCs/>
          <w:sz w:val="28"/>
          <w:szCs w:val="28"/>
        </w:rPr>
        <w:t>.</w:t>
      </w:r>
    </w:p>
    <w:p w:rsidR="00EC6C7C" w:rsidRPr="00222E88" w:rsidRDefault="00EC6C7C" w:rsidP="00E87A62">
      <w:pPr>
        <w:autoSpaceDE w:val="0"/>
        <w:autoSpaceDN w:val="0"/>
        <w:adjustRightInd w:val="0"/>
        <w:spacing w:after="0" w:line="240" w:lineRule="auto"/>
        <w:ind w:firstLine="709"/>
        <w:jc w:val="both"/>
        <w:rPr>
          <w:rFonts w:ascii="Times New Roman" w:hAnsi="Times New Roman" w:cs="Times New Roman"/>
          <w:sz w:val="28"/>
          <w:szCs w:val="28"/>
        </w:rPr>
      </w:pPr>
      <w:r w:rsidRPr="00222E88">
        <w:rPr>
          <w:rFonts w:ascii="Times New Roman" w:hAnsi="Times New Roman" w:cs="Times New Roman"/>
          <w:sz w:val="28"/>
          <w:szCs w:val="28"/>
        </w:rPr>
        <w:t xml:space="preserve">Количество баллов, присуждаемых по критерию оценки </w:t>
      </w:r>
      <w:r w:rsidR="00E87A62">
        <w:rPr>
          <w:rFonts w:ascii="Times New Roman" w:hAnsi="Times New Roman" w:cs="Times New Roman"/>
          <w:sz w:val="28"/>
          <w:szCs w:val="28"/>
        </w:rPr>
        <w:t>«</w:t>
      </w:r>
      <w:r w:rsidRPr="00222E88">
        <w:rPr>
          <w:rFonts w:ascii="Times New Roman" w:hAnsi="Times New Roman" w:cs="Times New Roman"/>
          <w:sz w:val="28"/>
          <w:szCs w:val="28"/>
        </w:rPr>
        <w:t>цена контракта</w:t>
      </w:r>
      <w:r w:rsidR="00E87A62">
        <w:rPr>
          <w:rFonts w:ascii="Times New Roman" w:hAnsi="Times New Roman" w:cs="Times New Roman"/>
          <w:sz w:val="28"/>
          <w:szCs w:val="28"/>
        </w:rPr>
        <w:t>»</w:t>
      </w:r>
      <w:r w:rsidRPr="00222E88">
        <w:rPr>
          <w:rFonts w:ascii="Times New Roman" w:hAnsi="Times New Roman" w:cs="Times New Roman"/>
          <w:sz w:val="28"/>
          <w:szCs w:val="28"/>
        </w:rPr>
        <w:t>, определяется по формуле:</w:t>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sz w:val="28"/>
          <w:szCs w:val="28"/>
        </w:rPr>
        <w:t xml:space="preserve">а) в случае если </w:t>
      </w:r>
      <w:r w:rsidRPr="00222E88">
        <w:rPr>
          <w:rFonts w:ascii="Times New Roman" w:hAnsi="Times New Roman" w:cs="Times New Roman"/>
          <w:noProof/>
          <w:position w:val="-12"/>
          <w:sz w:val="28"/>
          <w:szCs w:val="28"/>
          <w:lang w:eastAsia="ru-RU"/>
        </w:rPr>
        <w:drawing>
          <wp:inline distT="0" distB="0" distL="0" distR="0">
            <wp:extent cx="511810" cy="21844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218440"/>
                    </a:xfrm>
                    <a:prstGeom prst="rect">
                      <a:avLst/>
                    </a:prstGeom>
                    <a:noFill/>
                    <a:ln>
                      <a:noFill/>
                    </a:ln>
                  </pic:spPr>
                </pic:pic>
              </a:graphicData>
            </a:graphic>
          </wp:inline>
        </w:drawing>
      </w:r>
      <w:r w:rsidRPr="00222E88">
        <w:rPr>
          <w:rFonts w:ascii="Times New Roman" w:hAnsi="Times New Roman" w:cs="Times New Roman"/>
          <w:sz w:val="28"/>
          <w:szCs w:val="28"/>
        </w:rPr>
        <w:t>,</w:t>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noProof/>
          <w:position w:val="-30"/>
          <w:sz w:val="28"/>
          <w:szCs w:val="28"/>
          <w:lang w:eastAsia="ru-RU"/>
        </w:rPr>
        <w:drawing>
          <wp:inline distT="0" distB="0" distL="0" distR="0">
            <wp:extent cx="1050925" cy="4368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925" cy="436880"/>
                    </a:xfrm>
                    <a:prstGeom prst="rect">
                      <a:avLst/>
                    </a:prstGeom>
                    <a:noFill/>
                    <a:ln>
                      <a:noFill/>
                    </a:ln>
                  </pic:spPr>
                </pic:pic>
              </a:graphicData>
            </a:graphic>
          </wp:inline>
        </w:drawing>
      </w:r>
      <w:r w:rsidRPr="00222E88">
        <w:rPr>
          <w:rFonts w:ascii="Times New Roman" w:hAnsi="Times New Roman" w:cs="Times New Roman"/>
          <w:sz w:val="28"/>
          <w:szCs w:val="28"/>
        </w:rPr>
        <w:t>,</w:t>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sz w:val="28"/>
          <w:szCs w:val="28"/>
        </w:rPr>
        <w:t>где:</w:t>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noProof/>
          <w:position w:val="-12"/>
          <w:sz w:val="28"/>
          <w:szCs w:val="28"/>
          <w:lang w:eastAsia="ru-RU"/>
        </w:rPr>
        <w:drawing>
          <wp:inline distT="0" distB="0" distL="0" distR="0">
            <wp:extent cx="198120" cy="2184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218440"/>
                    </a:xfrm>
                    <a:prstGeom prst="rect">
                      <a:avLst/>
                    </a:prstGeom>
                    <a:noFill/>
                    <a:ln>
                      <a:noFill/>
                    </a:ln>
                  </pic:spPr>
                </pic:pic>
              </a:graphicData>
            </a:graphic>
          </wp:inline>
        </w:drawing>
      </w:r>
      <w:r w:rsidRPr="00222E88">
        <w:rPr>
          <w:rFonts w:ascii="Times New Roman" w:hAnsi="Times New Roman" w:cs="Times New Roman"/>
          <w:sz w:val="28"/>
          <w:szCs w:val="28"/>
        </w:rPr>
        <w:t xml:space="preserve"> - предложение участника закупки, заявка (предложение) которого оценивается;</w:t>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noProof/>
          <w:position w:val="-12"/>
          <w:sz w:val="28"/>
          <w:szCs w:val="28"/>
          <w:lang w:eastAsia="ru-RU"/>
        </w:rPr>
        <w:drawing>
          <wp:inline distT="0" distB="0" distL="0" distR="0">
            <wp:extent cx="320675" cy="2184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r w:rsidRPr="00222E88">
        <w:rPr>
          <w:rFonts w:ascii="Times New Roman" w:hAnsi="Times New Roman" w:cs="Times New Roman"/>
          <w:sz w:val="28"/>
          <w:szCs w:val="28"/>
        </w:rPr>
        <w:t xml:space="preserve"> - минимальное предложение из предложений по критерию оценки, сделанных участниками закупки;</w:t>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sz w:val="28"/>
          <w:szCs w:val="28"/>
        </w:rPr>
        <w:t xml:space="preserve">б) в случае если </w:t>
      </w:r>
      <w:r w:rsidRPr="00222E88">
        <w:rPr>
          <w:rFonts w:ascii="Times New Roman" w:hAnsi="Times New Roman" w:cs="Times New Roman"/>
          <w:noProof/>
          <w:position w:val="-12"/>
          <w:sz w:val="28"/>
          <w:szCs w:val="28"/>
          <w:lang w:eastAsia="ru-RU"/>
        </w:rPr>
        <w:drawing>
          <wp:inline distT="0" distB="0" distL="0" distR="0">
            <wp:extent cx="511810" cy="238760"/>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238760"/>
                    </a:xfrm>
                    <a:prstGeom prst="rect">
                      <a:avLst/>
                    </a:prstGeom>
                    <a:noFill/>
                    <a:ln>
                      <a:noFill/>
                    </a:ln>
                  </pic:spPr>
                </pic:pic>
              </a:graphicData>
            </a:graphic>
          </wp:inline>
        </w:drawing>
      </w:r>
      <w:r w:rsidRPr="00222E88">
        <w:rPr>
          <w:rFonts w:ascii="Times New Roman" w:hAnsi="Times New Roman" w:cs="Times New Roman"/>
          <w:sz w:val="28"/>
          <w:szCs w:val="28"/>
        </w:rPr>
        <w:t>,</w:t>
      </w:r>
    </w:p>
    <w:p w:rsidR="00EC6C7C" w:rsidRPr="00222E88" w:rsidRDefault="00EC6C7C" w:rsidP="00E87A62">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EC6C7C" w:rsidRPr="00222E88" w:rsidRDefault="00EC6C7C" w:rsidP="00E87A6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2E88">
        <w:rPr>
          <w:rFonts w:ascii="Times New Roman" w:hAnsi="Times New Roman" w:cs="Times New Roman"/>
          <w:noProof/>
          <w:position w:val="-30"/>
          <w:sz w:val="28"/>
          <w:szCs w:val="28"/>
          <w:lang w:eastAsia="ru-RU"/>
        </w:rPr>
        <w:drawing>
          <wp:inline distT="0" distB="0" distL="0" distR="0">
            <wp:extent cx="141224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240" cy="457200"/>
                    </a:xfrm>
                    <a:prstGeom prst="rect">
                      <a:avLst/>
                    </a:prstGeom>
                    <a:noFill/>
                    <a:ln>
                      <a:noFill/>
                    </a:ln>
                  </pic:spPr>
                </pic:pic>
              </a:graphicData>
            </a:graphic>
          </wp:inline>
        </w:drawing>
      </w:r>
    </w:p>
    <w:p w:rsidR="00EC6C7C" w:rsidRPr="00222E88" w:rsidRDefault="00EC6C7C" w:rsidP="00E87A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2E88">
        <w:rPr>
          <w:rFonts w:ascii="Times New Roman" w:hAnsi="Times New Roman" w:cs="Times New Roman"/>
          <w:sz w:val="28"/>
          <w:szCs w:val="28"/>
        </w:rPr>
        <w:t xml:space="preserve">где </w:t>
      </w:r>
      <w:r w:rsidRPr="00222E88">
        <w:rPr>
          <w:rFonts w:ascii="Times New Roman" w:hAnsi="Times New Roman" w:cs="Times New Roman"/>
          <w:noProof/>
          <w:position w:val="-12"/>
          <w:sz w:val="28"/>
          <w:szCs w:val="28"/>
          <w:lang w:eastAsia="ru-RU"/>
        </w:rPr>
        <w:drawing>
          <wp:inline distT="0" distB="0" distL="0" distR="0">
            <wp:extent cx="320675" cy="238760"/>
            <wp:effectExtent l="0" t="0" r="317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rsidRPr="00222E88">
        <w:rPr>
          <w:rFonts w:ascii="Times New Roman" w:hAnsi="Times New Roman" w:cs="Times New Roman"/>
          <w:sz w:val="28"/>
          <w:szCs w:val="28"/>
        </w:rPr>
        <w:t xml:space="preserve"> - максимальное предложение из предложений по критерию, сделанных участниками закупки.</w:t>
      </w:r>
    </w:p>
    <w:p w:rsidR="00EC6C7C" w:rsidRPr="00222E88" w:rsidRDefault="00EC6C7C" w:rsidP="00E87A62">
      <w:pPr>
        <w:widowControl w:val="0"/>
        <w:spacing w:after="0" w:line="240" w:lineRule="auto"/>
        <w:ind w:firstLine="709"/>
        <w:contextualSpacing/>
        <w:jc w:val="both"/>
        <w:outlineLvl w:val="0"/>
        <w:rPr>
          <w:rFonts w:ascii="Times New Roman" w:hAnsi="Times New Roman" w:cs="Times New Roman"/>
          <w:sz w:val="28"/>
          <w:szCs w:val="28"/>
        </w:rPr>
      </w:pPr>
      <w:r w:rsidRPr="00222E88">
        <w:rPr>
          <w:rFonts w:ascii="Times New Roman" w:hAnsi="Times New Roman" w:cs="Times New Roman"/>
          <w:sz w:val="28"/>
          <w:szCs w:val="28"/>
        </w:rPr>
        <w:t xml:space="preserve">Для получения рейтинга заявки по критерию оценки </w:t>
      </w:r>
      <w:r w:rsidR="00E87A62">
        <w:rPr>
          <w:rFonts w:ascii="Times New Roman" w:hAnsi="Times New Roman" w:cs="Times New Roman"/>
          <w:sz w:val="28"/>
          <w:szCs w:val="28"/>
        </w:rPr>
        <w:t>«</w:t>
      </w:r>
      <w:r w:rsidRPr="00222E88">
        <w:rPr>
          <w:rFonts w:ascii="Times New Roman" w:hAnsi="Times New Roman" w:cs="Times New Roman"/>
          <w:sz w:val="28"/>
          <w:szCs w:val="28"/>
        </w:rPr>
        <w:t>Цена контракта</w:t>
      </w:r>
      <w:r w:rsidR="00E87A62">
        <w:rPr>
          <w:rFonts w:ascii="Times New Roman" w:hAnsi="Times New Roman" w:cs="Times New Roman"/>
          <w:sz w:val="28"/>
          <w:szCs w:val="28"/>
        </w:rPr>
        <w:t>»</w:t>
      </w:r>
      <w:r w:rsidRPr="00222E88">
        <w:rPr>
          <w:rFonts w:ascii="Times New Roman" w:hAnsi="Times New Roman" w:cs="Times New Roman"/>
          <w:sz w:val="28"/>
          <w:szCs w:val="28"/>
        </w:rPr>
        <w:t xml:space="preserve"> оценка в баллах, получаемая участниками закупки по результатам оценки по указанному критерию, умножается на соответствующую</w:t>
      </w:r>
      <w:r w:rsidR="004847D3" w:rsidRPr="00222E88">
        <w:rPr>
          <w:rFonts w:ascii="Times New Roman" w:hAnsi="Times New Roman" w:cs="Times New Roman"/>
          <w:sz w:val="28"/>
          <w:szCs w:val="28"/>
        </w:rPr>
        <w:t xml:space="preserve"> указанному критерию значимость.</w:t>
      </w:r>
    </w:p>
    <w:p w:rsidR="004847D3" w:rsidRDefault="004847D3" w:rsidP="00E87A62">
      <w:pPr>
        <w:spacing w:after="0" w:line="240" w:lineRule="auto"/>
        <w:ind w:firstLine="709"/>
        <w:jc w:val="both"/>
        <w:rPr>
          <w:rFonts w:ascii="Times New Roman" w:hAnsi="Times New Roman" w:cs="Times New Roman"/>
          <w:sz w:val="28"/>
          <w:szCs w:val="28"/>
        </w:rPr>
      </w:pPr>
      <w:r w:rsidRPr="00222E88">
        <w:rPr>
          <w:rFonts w:ascii="Times New Roman" w:hAnsi="Times New Roman" w:cs="Times New Roman"/>
          <w:sz w:val="28"/>
          <w:szCs w:val="28"/>
        </w:rPr>
        <w:t xml:space="preserve">Лучшим условием исполнения контракта по критерию </w:t>
      </w:r>
      <w:r w:rsidR="00E87A62">
        <w:rPr>
          <w:rFonts w:ascii="Times New Roman" w:hAnsi="Times New Roman" w:cs="Times New Roman"/>
          <w:sz w:val="28"/>
          <w:szCs w:val="28"/>
        </w:rPr>
        <w:t>«</w:t>
      </w:r>
      <w:r w:rsidRPr="00222E88">
        <w:rPr>
          <w:rFonts w:ascii="Times New Roman" w:hAnsi="Times New Roman" w:cs="Times New Roman"/>
          <w:sz w:val="28"/>
          <w:szCs w:val="28"/>
        </w:rPr>
        <w:t>Цена контракта</w:t>
      </w:r>
      <w:r w:rsidR="00E87A62">
        <w:rPr>
          <w:rFonts w:ascii="Times New Roman" w:hAnsi="Times New Roman" w:cs="Times New Roman"/>
          <w:sz w:val="28"/>
          <w:szCs w:val="28"/>
        </w:rPr>
        <w:t>»</w:t>
      </w:r>
      <w:r w:rsidRPr="00222E88">
        <w:rPr>
          <w:rFonts w:ascii="Times New Roman" w:hAnsi="Times New Roman" w:cs="Times New Roman"/>
          <w:sz w:val="28"/>
          <w:szCs w:val="28"/>
        </w:rPr>
        <w:t xml:space="preserve"> признается предложение участника закупки с наименьшей ценой контракта.</w:t>
      </w:r>
    </w:p>
    <w:p w:rsidR="00947016" w:rsidRDefault="00947016"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87A62">
      <w:pPr>
        <w:spacing w:after="0" w:line="240" w:lineRule="auto"/>
        <w:ind w:firstLine="709"/>
        <w:jc w:val="both"/>
        <w:rPr>
          <w:rFonts w:ascii="Times New Roman" w:hAnsi="Times New Roman" w:cs="Times New Roman"/>
          <w:bCs/>
          <w:iCs/>
          <w:sz w:val="28"/>
          <w:szCs w:val="28"/>
        </w:rPr>
      </w:pPr>
    </w:p>
    <w:p w:rsidR="00EB3CE2" w:rsidRDefault="00EB3CE2" w:rsidP="00EB3CE2">
      <w:pPr>
        <w:pStyle w:val="a3"/>
        <w:widowControl w:val="0"/>
        <w:spacing w:after="0" w:line="240" w:lineRule="auto"/>
        <w:contextualSpacing w:val="0"/>
        <w:jc w:val="both"/>
        <w:outlineLvl w:val="0"/>
        <w:rPr>
          <w:rFonts w:ascii="Times New Roman" w:hAnsi="Times New Roman" w:cs="Times New Roman"/>
          <w:b/>
          <w:bCs/>
          <w:sz w:val="28"/>
          <w:szCs w:val="28"/>
        </w:rPr>
      </w:pPr>
    </w:p>
    <w:p w:rsidR="00EC6C7C" w:rsidRPr="00222E88" w:rsidRDefault="00EB3CE2" w:rsidP="00EB3CE2">
      <w:pPr>
        <w:pStyle w:val="a3"/>
        <w:widowControl w:val="0"/>
        <w:spacing w:after="0" w:line="240" w:lineRule="auto"/>
        <w:contextualSpacing w:val="0"/>
        <w:jc w:val="both"/>
        <w:outlineLvl w:val="0"/>
        <w:rPr>
          <w:rFonts w:ascii="Times New Roman" w:hAnsi="Times New Roman" w:cs="Times New Roman"/>
          <w:b/>
          <w:bCs/>
          <w:sz w:val="28"/>
          <w:szCs w:val="28"/>
        </w:rPr>
      </w:pPr>
      <w:r w:rsidRPr="00EB3CE2">
        <w:rPr>
          <w:rFonts w:ascii="Times New Roman" w:hAnsi="Times New Roman" w:cs="Times New Roman"/>
          <w:b/>
          <w:bCs/>
          <w:sz w:val="28"/>
          <w:szCs w:val="28"/>
        </w:rPr>
        <w:lastRenderedPageBreak/>
        <w:t>2.</w:t>
      </w:r>
      <w:r>
        <w:rPr>
          <w:rFonts w:ascii="Times New Roman" w:hAnsi="Times New Roman" w:cs="Times New Roman"/>
          <w:sz w:val="28"/>
          <w:szCs w:val="28"/>
        </w:rPr>
        <w:t xml:space="preserve"> </w:t>
      </w:r>
      <w:r w:rsidR="00442B4E">
        <w:rPr>
          <w:rFonts w:ascii="Times New Roman" w:hAnsi="Times New Roman" w:cs="Times New Roman"/>
          <w:b/>
          <w:bCs/>
          <w:sz w:val="28"/>
          <w:szCs w:val="28"/>
        </w:rPr>
        <w:t>К</w:t>
      </w:r>
      <w:r w:rsidR="00EC6C7C" w:rsidRPr="00222E88">
        <w:rPr>
          <w:rFonts w:ascii="Times New Roman" w:hAnsi="Times New Roman" w:cs="Times New Roman"/>
          <w:b/>
          <w:bCs/>
          <w:sz w:val="28"/>
          <w:szCs w:val="28"/>
        </w:rPr>
        <w:t>ритери</w:t>
      </w:r>
      <w:r w:rsidR="00442B4E">
        <w:rPr>
          <w:rFonts w:ascii="Times New Roman" w:hAnsi="Times New Roman" w:cs="Times New Roman"/>
          <w:b/>
          <w:bCs/>
          <w:sz w:val="28"/>
          <w:szCs w:val="28"/>
        </w:rPr>
        <w:t>й</w:t>
      </w:r>
      <w:r w:rsidR="00A56CBF">
        <w:rPr>
          <w:rFonts w:ascii="Times New Roman" w:hAnsi="Times New Roman" w:cs="Times New Roman"/>
          <w:b/>
          <w:bCs/>
          <w:sz w:val="28"/>
          <w:szCs w:val="28"/>
        </w:rPr>
        <w:t xml:space="preserve"> </w:t>
      </w:r>
      <w:r w:rsidR="00E87A62">
        <w:rPr>
          <w:rFonts w:ascii="Times New Roman" w:hAnsi="Times New Roman" w:cs="Times New Roman"/>
          <w:b/>
          <w:bCs/>
          <w:sz w:val="28"/>
          <w:szCs w:val="28"/>
        </w:rPr>
        <w:t>«</w:t>
      </w:r>
      <w:r w:rsidR="00EC6C7C" w:rsidRPr="00222E88">
        <w:rPr>
          <w:rFonts w:ascii="Times New Roman" w:hAnsi="Times New Roman" w:cs="Times New Roman"/>
          <w:b/>
          <w:bCs/>
          <w:sz w:val="28"/>
          <w:szCs w:val="28"/>
        </w:rPr>
        <w:t>Качественные, функциональные и экологические характеристики объекта закупок</w:t>
      </w:r>
      <w:r w:rsidR="00E87A62">
        <w:rPr>
          <w:rFonts w:ascii="Times New Roman" w:hAnsi="Times New Roman" w:cs="Times New Roman"/>
          <w:b/>
          <w:bCs/>
          <w:sz w:val="28"/>
          <w:szCs w:val="28"/>
        </w:rPr>
        <w:t>»</w:t>
      </w:r>
      <w:r w:rsidR="00EC6C7C" w:rsidRPr="00222E88">
        <w:rPr>
          <w:rFonts w:ascii="Times New Roman" w:hAnsi="Times New Roman" w:cs="Times New Roman"/>
          <w:b/>
          <w:bCs/>
          <w:sz w:val="28"/>
          <w:szCs w:val="28"/>
        </w:rPr>
        <w:t>.</w:t>
      </w:r>
    </w:p>
    <w:p w:rsidR="00783DE3" w:rsidRDefault="00783DE3" w:rsidP="00E87A62">
      <w:pPr>
        <w:widowControl w:val="0"/>
        <w:spacing w:after="0" w:line="240" w:lineRule="auto"/>
        <w:ind w:firstLine="709"/>
        <w:jc w:val="both"/>
        <w:outlineLvl w:val="0"/>
        <w:rPr>
          <w:rFonts w:ascii="Times New Roman" w:hAnsi="Times New Roman" w:cs="Times New Roman"/>
          <w:sz w:val="28"/>
          <w:szCs w:val="28"/>
        </w:rPr>
      </w:pPr>
    </w:p>
    <w:tbl>
      <w:tblPr>
        <w:tblW w:w="15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888"/>
        <w:gridCol w:w="2888"/>
        <w:gridCol w:w="5044"/>
        <w:gridCol w:w="2891"/>
      </w:tblGrid>
      <w:tr w:rsidR="000E613C" w:rsidRPr="005519AC" w:rsidTr="00D23761">
        <w:tc>
          <w:tcPr>
            <w:tcW w:w="2585" w:type="dxa"/>
            <w:tcBorders>
              <w:top w:val="single" w:sz="4" w:space="0" w:color="auto"/>
              <w:left w:val="single" w:sz="4" w:space="0" w:color="auto"/>
              <w:bottom w:val="single" w:sz="4" w:space="0" w:color="auto"/>
              <w:right w:val="single" w:sz="4" w:space="0" w:color="auto"/>
            </w:tcBorders>
            <w:vAlign w:val="center"/>
            <w:hideMark/>
          </w:tcPr>
          <w:p w:rsidR="000E613C" w:rsidRPr="00EB3CE2" w:rsidRDefault="000E613C" w:rsidP="00B72161">
            <w:pPr>
              <w:spacing w:after="0" w:line="240" w:lineRule="auto"/>
              <w:jc w:val="center"/>
              <w:rPr>
                <w:rFonts w:ascii="Times New Roman" w:hAnsi="Times New Roman" w:cs="Times New Roman"/>
                <w:sz w:val="24"/>
                <w:szCs w:val="24"/>
              </w:rPr>
            </w:pPr>
            <w:r w:rsidRPr="00EB3CE2">
              <w:rPr>
                <w:rFonts w:ascii="Times New Roman" w:hAnsi="Times New Roman" w:cs="Times New Roman"/>
                <w:b/>
                <w:bCs/>
                <w:sz w:val="24"/>
                <w:szCs w:val="24"/>
              </w:rPr>
              <w:t>Наименование показателя критерия</w:t>
            </w:r>
          </w:p>
        </w:tc>
        <w:tc>
          <w:tcPr>
            <w:tcW w:w="1888" w:type="dxa"/>
            <w:tcBorders>
              <w:top w:val="single" w:sz="4" w:space="0" w:color="auto"/>
              <w:left w:val="single" w:sz="4" w:space="0" w:color="auto"/>
              <w:bottom w:val="single" w:sz="4" w:space="0" w:color="auto"/>
              <w:right w:val="single" w:sz="4" w:space="0" w:color="auto"/>
            </w:tcBorders>
            <w:vAlign w:val="center"/>
            <w:hideMark/>
          </w:tcPr>
          <w:p w:rsidR="000E613C" w:rsidRPr="00EB3CE2" w:rsidRDefault="000E613C" w:rsidP="00B72161">
            <w:pPr>
              <w:spacing w:after="0" w:line="240" w:lineRule="auto"/>
              <w:jc w:val="center"/>
              <w:rPr>
                <w:rFonts w:ascii="Times New Roman" w:hAnsi="Times New Roman" w:cs="Times New Roman"/>
                <w:b/>
                <w:bCs/>
                <w:sz w:val="24"/>
                <w:szCs w:val="24"/>
              </w:rPr>
            </w:pPr>
            <w:r w:rsidRPr="00EB3CE2">
              <w:rPr>
                <w:rFonts w:ascii="Times New Roman" w:hAnsi="Times New Roman" w:cs="Times New Roman"/>
                <w:b/>
                <w:bCs/>
                <w:sz w:val="24"/>
                <w:szCs w:val="24"/>
              </w:rPr>
              <w:t>Значение</w:t>
            </w:r>
          </w:p>
        </w:tc>
        <w:tc>
          <w:tcPr>
            <w:tcW w:w="2888" w:type="dxa"/>
            <w:tcBorders>
              <w:top w:val="single" w:sz="4" w:space="0" w:color="auto"/>
              <w:left w:val="single" w:sz="4" w:space="0" w:color="auto"/>
              <w:bottom w:val="single" w:sz="4" w:space="0" w:color="auto"/>
              <w:right w:val="single" w:sz="4" w:space="0" w:color="auto"/>
            </w:tcBorders>
            <w:vAlign w:val="center"/>
            <w:hideMark/>
          </w:tcPr>
          <w:p w:rsidR="000E613C" w:rsidRPr="00EB3CE2" w:rsidRDefault="000E613C" w:rsidP="00B72161">
            <w:pPr>
              <w:spacing w:after="0" w:line="240" w:lineRule="auto"/>
              <w:jc w:val="center"/>
              <w:rPr>
                <w:rFonts w:ascii="Times New Roman" w:hAnsi="Times New Roman" w:cs="Times New Roman"/>
                <w:sz w:val="24"/>
                <w:szCs w:val="24"/>
              </w:rPr>
            </w:pPr>
            <w:r w:rsidRPr="00EB3CE2">
              <w:rPr>
                <w:rFonts w:ascii="Times New Roman" w:hAnsi="Times New Roman" w:cs="Times New Roman"/>
                <w:b/>
                <w:bCs/>
                <w:sz w:val="24"/>
                <w:szCs w:val="24"/>
              </w:rPr>
              <w:t>Величина значимости показателя критерия оценки в процентах</w:t>
            </w:r>
            <w:r w:rsidR="0024334B">
              <w:rPr>
                <w:rFonts w:ascii="Times New Roman" w:hAnsi="Times New Roman" w:cs="Times New Roman"/>
                <w:b/>
                <w:bCs/>
                <w:sz w:val="24"/>
                <w:szCs w:val="24"/>
              </w:rPr>
              <w:t xml:space="preserve">/коэффициент значимости показателя </w:t>
            </w:r>
          </w:p>
        </w:tc>
        <w:tc>
          <w:tcPr>
            <w:tcW w:w="5044" w:type="dxa"/>
            <w:tcBorders>
              <w:top w:val="single" w:sz="4" w:space="0" w:color="auto"/>
              <w:left w:val="single" w:sz="4" w:space="0" w:color="auto"/>
              <w:bottom w:val="single" w:sz="4" w:space="0" w:color="auto"/>
              <w:right w:val="single" w:sz="4" w:space="0" w:color="auto"/>
            </w:tcBorders>
            <w:vAlign w:val="center"/>
            <w:hideMark/>
          </w:tcPr>
          <w:p w:rsidR="000E613C" w:rsidRPr="00EB3CE2" w:rsidRDefault="000E613C" w:rsidP="00B72161">
            <w:pPr>
              <w:autoSpaceDE w:val="0"/>
              <w:autoSpaceDN w:val="0"/>
              <w:adjustRightInd w:val="0"/>
              <w:spacing w:after="0" w:line="240" w:lineRule="auto"/>
              <w:jc w:val="center"/>
              <w:rPr>
                <w:rFonts w:ascii="Times New Roman" w:hAnsi="Times New Roman" w:cs="Times New Roman"/>
                <w:b/>
                <w:bCs/>
                <w:sz w:val="24"/>
                <w:szCs w:val="24"/>
              </w:rPr>
            </w:pPr>
            <w:r w:rsidRPr="00EB3CE2">
              <w:rPr>
                <w:rFonts w:ascii="Times New Roman" w:hAnsi="Times New Roman" w:cs="Times New Roman"/>
                <w:b/>
                <w:bCs/>
                <w:sz w:val="24"/>
                <w:szCs w:val="24"/>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tc>
        <w:tc>
          <w:tcPr>
            <w:tcW w:w="2891" w:type="dxa"/>
            <w:tcBorders>
              <w:top w:val="single" w:sz="4" w:space="0" w:color="auto"/>
              <w:left w:val="single" w:sz="4" w:space="0" w:color="auto"/>
              <w:bottom w:val="single" w:sz="4" w:space="0" w:color="auto"/>
              <w:right w:val="single" w:sz="4" w:space="0" w:color="auto"/>
            </w:tcBorders>
            <w:vAlign w:val="center"/>
            <w:hideMark/>
          </w:tcPr>
          <w:p w:rsidR="000E613C" w:rsidRPr="00EB3CE2" w:rsidRDefault="000E613C" w:rsidP="00B72161">
            <w:pPr>
              <w:autoSpaceDE w:val="0"/>
              <w:autoSpaceDN w:val="0"/>
              <w:adjustRightInd w:val="0"/>
              <w:spacing w:after="0" w:line="240" w:lineRule="auto"/>
              <w:jc w:val="center"/>
              <w:rPr>
                <w:rFonts w:ascii="Times New Roman" w:hAnsi="Times New Roman" w:cs="Times New Roman"/>
                <w:b/>
                <w:bCs/>
                <w:sz w:val="24"/>
                <w:szCs w:val="24"/>
              </w:rPr>
            </w:pPr>
            <w:r w:rsidRPr="00EB3CE2">
              <w:rPr>
                <w:rFonts w:ascii="Times New Roman" w:hAnsi="Times New Roman" w:cs="Times New Roman"/>
                <w:b/>
                <w:bCs/>
                <w:sz w:val="24"/>
                <w:szCs w:val="24"/>
              </w:rPr>
              <w:t>Документы, подтверждающие квалификацию участника</w:t>
            </w:r>
          </w:p>
        </w:tc>
      </w:tr>
      <w:tr w:rsidR="00582A75" w:rsidRPr="005519AC" w:rsidTr="00D23761">
        <w:trPr>
          <w:trHeight w:val="1557"/>
        </w:trPr>
        <w:tc>
          <w:tcPr>
            <w:tcW w:w="2585" w:type="dxa"/>
            <w:tcBorders>
              <w:left w:val="single" w:sz="4" w:space="0" w:color="auto"/>
              <w:right w:val="single" w:sz="4" w:space="0" w:color="auto"/>
            </w:tcBorders>
          </w:tcPr>
          <w:p w:rsidR="00582A75" w:rsidRPr="00EB3CE2" w:rsidRDefault="00582A75" w:rsidP="00B72161">
            <w:pPr>
              <w:autoSpaceDE w:val="0"/>
              <w:autoSpaceDN w:val="0"/>
              <w:adjustRightInd w:val="0"/>
              <w:spacing w:after="0" w:line="240" w:lineRule="auto"/>
              <w:jc w:val="both"/>
              <w:rPr>
                <w:rStyle w:val="20"/>
                <w:rFonts w:eastAsiaTheme="minorHAnsi"/>
                <w:sz w:val="22"/>
                <w:szCs w:val="22"/>
              </w:rPr>
            </w:pPr>
            <w:r w:rsidRPr="00EB3CE2">
              <w:rPr>
                <w:rStyle w:val="20"/>
                <w:rFonts w:eastAsiaTheme="minorHAnsi"/>
                <w:sz w:val="22"/>
                <w:szCs w:val="22"/>
              </w:rPr>
              <w:t>1.Качество работ</w:t>
            </w:r>
          </w:p>
        </w:tc>
        <w:tc>
          <w:tcPr>
            <w:tcW w:w="1888" w:type="dxa"/>
            <w:tcBorders>
              <w:top w:val="single" w:sz="4" w:space="0" w:color="auto"/>
              <w:left w:val="single" w:sz="4" w:space="0" w:color="auto"/>
              <w:right w:val="single" w:sz="4" w:space="0" w:color="auto"/>
            </w:tcBorders>
          </w:tcPr>
          <w:p w:rsidR="00582A75" w:rsidRPr="00EB3CE2" w:rsidRDefault="00AA77DD" w:rsidP="00AA77DD">
            <w:pPr>
              <w:pStyle w:val="ConsPlusNormal"/>
              <w:tabs>
                <w:tab w:val="left" w:pos="993"/>
              </w:tabs>
              <w:ind w:firstLine="0"/>
              <w:contextualSpacing/>
              <w:jc w:val="both"/>
              <w:rPr>
                <w:rFonts w:ascii="Times New Roman" w:eastAsia="Calibri" w:hAnsi="Times New Roman" w:cs="Times New Roman"/>
              </w:rPr>
            </w:pPr>
            <w:r w:rsidRPr="00AA77DD">
              <w:rPr>
                <w:rFonts w:ascii="Times New Roman" w:hAnsi="Times New Roman" w:cs="Times New Roman"/>
                <w:color w:val="000000"/>
              </w:rPr>
              <w:t>При оценке заявок (предложений) по критерию оценки «Качественные, функциональные и экологические характеристики объекта закупки» наибольшее количество баллов присваивается заявке с лучшим предложением по показателю «Качество работ, услуг». Оценка и сопоставление заявок на участие в конкурсе осуществляется в соответствии с пунктами 11, 25, 26, 29 Правил</w:t>
            </w:r>
          </w:p>
        </w:tc>
        <w:tc>
          <w:tcPr>
            <w:tcW w:w="2888" w:type="dxa"/>
            <w:tcBorders>
              <w:top w:val="single" w:sz="4" w:space="0" w:color="auto"/>
              <w:left w:val="single" w:sz="4" w:space="0" w:color="auto"/>
              <w:right w:val="single" w:sz="4" w:space="0" w:color="auto"/>
            </w:tcBorders>
          </w:tcPr>
          <w:p w:rsidR="00582A75" w:rsidRPr="00EB3CE2" w:rsidRDefault="00582A75" w:rsidP="00B72161">
            <w:pPr>
              <w:spacing w:after="0" w:line="240" w:lineRule="auto"/>
              <w:jc w:val="center"/>
              <w:rPr>
                <w:rFonts w:ascii="Times New Roman" w:hAnsi="Times New Roman" w:cs="Times New Roman"/>
                <w:b/>
              </w:rPr>
            </w:pPr>
            <w:r>
              <w:rPr>
                <w:rFonts w:ascii="Times New Roman" w:hAnsi="Times New Roman" w:cs="Times New Roman"/>
                <w:b/>
              </w:rPr>
              <w:t>10</w:t>
            </w:r>
            <w:r w:rsidRPr="00EB3CE2">
              <w:rPr>
                <w:rFonts w:ascii="Times New Roman" w:hAnsi="Times New Roman" w:cs="Times New Roman"/>
                <w:b/>
              </w:rPr>
              <w:t>0</w:t>
            </w:r>
            <w:r w:rsidR="0024334B">
              <w:rPr>
                <w:rFonts w:ascii="Times New Roman" w:hAnsi="Times New Roman" w:cs="Times New Roman"/>
                <w:b/>
              </w:rPr>
              <w:t>/1</w:t>
            </w:r>
          </w:p>
        </w:tc>
        <w:tc>
          <w:tcPr>
            <w:tcW w:w="5044" w:type="dxa"/>
            <w:tcBorders>
              <w:top w:val="single" w:sz="4" w:space="0" w:color="auto"/>
              <w:left w:val="single" w:sz="4" w:space="0" w:color="auto"/>
              <w:bottom w:val="single" w:sz="4" w:space="0" w:color="auto"/>
              <w:right w:val="single" w:sz="4" w:space="0" w:color="auto"/>
            </w:tcBorders>
          </w:tcPr>
          <w:p w:rsidR="00AA77DD" w:rsidRPr="00AA77DD" w:rsidRDefault="00AA77DD" w:rsidP="00AA77DD">
            <w:pPr>
              <w:pStyle w:val="ConsPlusNormal"/>
              <w:tabs>
                <w:tab w:val="left" w:pos="993"/>
              </w:tabs>
              <w:ind w:firstLine="318"/>
              <w:contextualSpacing/>
              <w:jc w:val="both"/>
              <w:rPr>
                <w:rFonts w:ascii="Times New Roman" w:hAnsi="Times New Roman" w:cs="Times New Roman"/>
                <w:color w:val="000000"/>
              </w:rPr>
            </w:pPr>
            <w:r w:rsidRPr="00AA77DD">
              <w:rPr>
                <w:rFonts w:ascii="Times New Roman" w:hAnsi="Times New Roman" w:cs="Times New Roman"/>
                <w:color w:val="000000"/>
              </w:rPr>
              <w:t xml:space="preserve">Предметом оценки являются предложения участника по осуществлению функций проектировщика при выполнении работ предусмотренными </w:t>
            </w:r>
            <w:r w:rsidR="008B126D">
              <w:rPr>
                <w:rFonts w:ascii="Times New Roman" w:hAnsi="Times New Roman" w:cs="Times New Roman"/>
                <w:color w:val="000000"/>
              </w:rPr>
              <w:t>т</w:t>
            </w:r>
            <w:r w:rsidR="0090026A">
              <w:rPr>
                <w:rFonts w:ascii="Times New Roman" w:hAnsi="Times New Roman" w:cs="Times New Roman"/>
                <w:color w:val="000000"/>
              </w:rPr>
              <w:t>ехническ</w:t>
            </w:r>
            <w:r w:rsidR="008B126D">
              <w:rPr>
                <w:rFonts w:ascii="Times New Roman" w:hAnsi="Times New Roman" w:cs="Times New Roman"/>
                <w:color w:val="000000"/>
              </w:rPr>
              <w:t>им</w:t>
            </w:r>
            <w:r w:rsidR="0090026A">
              <w:rPr>
                <w:rFonts w:ascii="Times New Roman" w:hAnsi="Times New Roman" w:cs="Times New Roman"/>
                <w:color w:val="000000"/>
              </w:rPr>
              <w:t xml:space="preserve"> задани</w:t>
            </w:r>
            <w:r w:rsidR="008B126D">
              <w:rPr>
                <w:rFonts w:ascii="Times New Roman" w:hAnsi="Times New Roman" w:cs="Times New Roman"/>
                <w:color w:val="000000"/>
              </w:rPr>
              <w:t>ем</w:t>
            </w:r>
            <w:r w:rsidR="0090026A">
              <w:rPr>
                <w:rFonts w:ascii="Times New Roman" w:hAnsi="Times New Roman" w:cs="Times New Roman"/>
                <w:color w:val="000000"/>
              </w:rPr>
              <w:t xml:space="preserve"> (задани</w:t>
            </w:r>
            <w:r w:rsidR="008B126D">
              <w:rPr>
                <w:rFonts w:ascii="Times New Roman" w:hAnsi="Times New Roman" w:cs="Times New Roman"/>
                <w:color w:val="000000"/>
              </w:rPr>
              <w:t>ем</w:t>
            </w:r>
            <w:r w:rsidR="0090026A">
              <w:rPr>
                <w:rFonts w:ascii="Times New Roman" w:hAnsi="Times New Roman" w:cs="Times New Roman"/>
                <w:color w:val="000000"/>
              </w:rPr>
              <w:t xml:space="preserve"> на проектирование), описания объекта закупки </w:t>
            </w:r>
            <w:r w:rsidRPr="00AA77DD">
              <w:rPr>
                <w:rFonts w:ascii="Times New Roman" w:hAnsi="Times New Roman" w:cs="Times New Roman"/>
                <w:color w:val="000000"/>
              </w:rPr>
              <w:t>(Приложение к проекту контракта), по следующим направлениям:</w:t>
            </w:r>
          </w:p>
          <w:p w:rsidR="00AA77DD" w:rsidRPr="00AA77DD" w:rsidRDefault="00AA77DD" w:rsidP="002C3A73">
            <w:pPr>
              <w:pStyle w:val="ConsPlusNormal"/>
              <w:tabs>
                <w:tab w:val="left" w:pos="993"/>
              </w:tabs>
              <w:ind w:firstLine="318"/>
              <w:contextualSpacing/>
              <w:jc w:val="both"/>
              <w:rPr>
                <w:rFonts w:ascii="Times New Roman" w:hAnsi="Times New Roman" w:cs="Times New Roman"/>
                <w:color w:val="000000"/>
              </w:rPr>
            </w:pPr>
            <w:r w:rsidRPr="00AA77DD">
              <w:rPr>
                <w:rFonts w:ascii="Times New Roman" w:hAnsi="Times New Roman" w:cs="Times New Roman"/>
                <w:color w:val="000000"/>
              </w:rPr>
              <w:t xml:space="preserve">- предложение по порядку разработки проектно-сметной документации </w:t>
            </w:r>
            <w:r w:rsidR="00B500D1">
              <w:rPr>
                <w:rFonts w:ascii="Times New Roman" w:hAnsi="Times New Roman" w:cs="Times New Roman"/>
                <w:color w:val="000000"/>
              </w:rPr>
              <w:t xml:space="preserve">, с описанием </w:t>
            </w:r>
            <w:r w:rsidRPr="00AA77DD">
              <w:rPr>
                <w:rFonts w:ascii="Times New Roman" w:hAnsi="Times New Roman" w:cs="Times New Roman"/>
                <w:color w:val="000000"/>
              </w:rPr>
              <w:t>обеспечени</w:t>
            </w:r>
            <w:r w:rsidR="00B500D1">
              <w:rPr>
                <w:rFonts w:ascii="Times New Roman" w:hAnsi="Times New Roman" w:cs="Times New Roman"/>
                <w:color w:val="000000"/>
              </w:rPr>
              <w:t>я</w:t>
            </w:r>
            <w:r w:rsidRPr="00AA77DD">
              <w:rPr>
                <w:rFonts w:ascii="Times New Roman" w:hAnsi="Times New Roman" w:cs="Times New Roman"/>
                <w:color w:val="000000"/>
              </w:rPr>
              <w:t xml:space="preserve"> контроля качества разработки проектно-сметной документации </w:t>
            </w:r>
            <w:r w:rsidR="000870F5">
              <w:rPr>
                <w:rFonts w:ascii="Times New Roman" w:hAnsi="Times New Roman" w:cs="Times New Roman"/>
                <w:color w:val="000000"/>
              </w:rPr>
              <w:t xml:space="preserve"> </w:t>
            </w:r>
            <w:r w:rsidRPr="00AA77DD">
              <w:rPr>
                <w:rFonts w:ascii="Times New Roman" w:hAnsi="Times New Roman" w:cs="Times New Roman"/>
                <w:color w:val="000000"/>
              </w:rPr>
              <w:t>–</w:t>
            </w:r>
            <w:r w:rsidR="007F41D1">
              <w:rPr>
                <w:rFonts w:ascii="Times New Roman" w:hAnsi="Times New Roman" w:cs="Times New Roman"/>
                <w:color w:val="000000"/>
              </w:rPr>
              <w:t xml:space="preserve"> </w:t>
            </w:r>
            <w:r w:rsidR="002C3A73" w:rsidRPr="002C3A73">
              <w:rPr>
                <w:rFonts w:ascii="Times New Roman" w:hAnsi="Times New Roman" w:cs="Times New Roman"/>
                <w:color w:val="000000"/>
              </w:rPr>
              <w:t xml:space="preserve">максимальное количество баллов </w:t>
            </w:r>
            <w:r w:rsidR="00B500D1">
              <w:rPr>
                <w:rFonts w:ascii="Times New Roman" w:hAnsi="Times New Roman" w:cs="Times New Roman"/>
                <w:color w:val="000000"/>
              </w:rPr>
              <w:t>10</w:t>
            </w:r>
            <w:r w:rsidR="00042B4A">
              <w:rPr>
                <w:rFonts w:ascii="Times New Roman" w:hAnsi="Times New Roman" w:cs="Times New Roman"/>
                <w:color w:val="000000"/>
              </w:rPr>
              <w:t>0</w:t>
            </w:r>
            <w:r w:rsidR="00734983">
              <w:rPr>
                <w:rFonts w:ascii="Times New Roman" w:hAnsi="Times New Roman" w:cs="Times New Roman"/>
                <w:color w:val="000000"/>
              </w:rPr>
              <w:t>.</w:t>
            </w:r>
            <w:r w:rsidRPr="00AA77DD">
              <w:rPr>
                <w:rFonts w:ascii="Times New Roman" w:hAnsi="Times New Roman" w:cs="Times New Roman"/>
                <w:color w:val="000000"/>
              </w:rPr>
              <w:t xml:space="preserve"> </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xml:space="preserve">Предложение участника: </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должно не противоречить техническим регламентам, стандартам и иными требованиям, предусмотренными законодательством о техническом регулировании;</w:t>
            </w:r>
          </w:p>
          <w:p w:rsidR="00AA77DD" w:rsidRPr="00AA77DD"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должно учитывать особенности объекта закупки, установленные в конкурс</w:t>
            </w:r>
            <w:r>
              <w:rPr>
                <w:rFonts w:ascii="Times New Roman" w:hAnsi="Times New Roman" w:cs="Times New Roman"/>
                <w:color w:val="000000"/>
              </w:rPr>
              <w:t>ной документации.</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xml:space="preserve">Каждому предложению участника по данному показателю присваиваются баллы в следующем порядке: </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xml:space="preserve">Предложению, представленному в отношении всех работ, предусмотренных </w:t>
            </w:r>
            <w:r w:rsidR="00CF55DD">
              <w:rPr>
                <w:rFonts w:ascii="Times New Roman" w:hAnsi="Times New Roman" w:cs="Times New Roman"/>
                <w:color w:val="000000"/>
              </w:rPr>
              <w:t>т</w:t>
            </w:r>
            <w:r w:rsidRPr="00F9587C">
              <w:rPr>
                <w:rFonts w:ascii="Times New Roman" w:hAnsi="Times New Roman" w:cs="Times New Roman"/>
                <w:color w:val="000000"/>
              </w:rPr>
              <w:t>ехническ</w:t>
            </w:r>
            <w:r w:rsidR="00CF55DD">
              <w:rPr>
                <w:rFonts w:ascii="Times New Roman" w:hAnsi="Times New Roman" w:cs="Times New Roman"/>
                <w:color w:val="000000"/>
              </w:rPr>
              <w:t>им</w:t>
            </w:r>
            <w:r w:rsidRPr="00F9587C">
              <w:rPr>
                <w:rFonts w:ascii="Times New Roman" w:hAnsi="Times New Roman" w:cs="Times New Roman"/>
                <w:color w:val="000000"/>
              </w:rPr>
              <w:t xml:space="preserve"> задани</w:t>
            </w:r>
            <w:r w:rsidR="00CF55DD">
              <w:rPr>
                <w:rFonts w:ascii="Times New Roman" w:hAnsi="Times New Roman" w:cs="Times New Roman"/>
                <w:color w:val="000000"/>
              </w:rPr>
              <w:t>ем</w:t>
            </w:r>
            <w:r w:rsidR="00FA6517">
              <w:rPr>
                <w:rFonts w:ascii="Times New Roman" w:hAnsi="Times New Roman" w:cs="Times New Roman"/>
                <w:color w:val="000000"/>
              </w:rPr>
              <w:t xml:space="preserve"> </w:t>
            </w:r>
            <w:r w:rsidR="00FA6517" w:rsidRPr="00FA6517">
              <w:rPr>
                <w:rFonts w:ascii="Times New Roman" w:hAnsi="Times New Roman" w:cs="Times New Roman"/>
                <w:color w:val="000000"/>
              </w:rPr>
              <w:t>(задани</w:t>
            </w:r>
            <w:r w:rsidR="00CF55DD">
              <w:rPr>
                <w:rFonts w:ascii="Times New Roman" w:hAnsi="Times New Roman" w:cs="Times New Roman"/>
                <w:color w:val="000000"/>
              </w:rPr>
              <w:t>е</w:t>
            </w:r>
            <w:r w:rsidR="00FA6517" w:rsidRPr="00FA6517">
              <w:rPr>
                <w:rFonts w:ascii="Times New Roman" w:hAnsi="Times New Roman" w:cs="Times New Roman"/>
                <w:color w:val="000000"/>
              </w:rPr>
              <w:t xml:space="preserve"> на проектирование), описания объекта закупки</w:t>
            </w:r>
            <w:r w:rsidRPr="00F9587C">
              <w:rPr>
                <w:rFonts w:ascii="Times New Roman" w:hAnsi="Times New Roman" w:cs="Times New Roman"/>
                <w:color w:val="000000"/>
              </w:rPr>
              <w:t xml:space="preserve">, а также содержащему сведения о способах и/или методике выполнения работ, </w:t>
            </w:r>
            <w:r w:rsidRPr="00F9587C">
              <w:rPr>
                <w:rFonts w:ascii="Times New Roman" w:hAnsi="Times New Roman" w:cs="Times New Roman"/>
                <w:color w:val="000000"/>
              </w:rPr>
              <w:lastRenderedPageBreak/>
              <w:t xml:space="preserve">анализу объекта, полной детализацией документации и объемов работ применительно к объекту, указанием технико-экономических показателей проектируемого объекта, которое признано соответствующим требованиям, предъявляемым к предложению. В составе заявки указано применяемое оборудование и программные комплексы, описание системы контроля качества (может быть подтверждено сертификатом системы качества (добровольная сертификация системы менеджмента качества). Такой заявке присваивается максимальное количество баллов </w:t>
            </w:r>
            <w:r w:rsidR="000318E9">
              <w:rPr>
                <w:rFonts w:ascii="Times New Roman" w:hAnsi="Times New Roman" w:cs="Times New Roman"/>
                <w:color w:val="000000"/>
              </w:rPr>
              <w:t>10</w:t>
            </w:r>
            <w:r w:rsidR="00B13B45">
              <w:rPr>
                <w:rFonts w:ascii="Times New Roman" w:hAnsi="Times New Roman" w:cs="Times New Roman"/>
                <w:color w:val="000000"/>
              </w:rPr>
              <w:t>0</w:t>
            </w:r>
            <w:r w:rsidRPr="00F9587C">
              <w:rPr>
                <w:rFonts w:ascii="Times New Roman" w:hAnsi="Times New Roman" w:cs="Times New Roman"/>
                <w:color w:val="000000"/>
              </w:rPr>
              <w:t>;</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xml:space="preserve">Предложению, представленному в отношении всех работ, предусмотренных </w:t>
            </w:r>
            <w:r w:rsidR="00B716B1" w:rsidRPr="00B716B1">
              <w:rPr>
                <w:rFonts w:ascii="Times New Roman" w:hAnsi="Times New Roman" w:cs="Times New Roman"/>
                <w:color w:val="000000"/>
              </w:rPr>
              <w:t>техническ</w:t>
            </w:r>
            <w:r w:rsidR="00042B4A">
              <w:rPr>
                <w:rFonts w:ascii="Times New Roman" w:hAnsi="Times New Roman" w:cs="Times New Roman"/>
                <w:color w:val="000000"/>
              </w:rPr>
              <w:t>им</w:t>
            </w:r>
            <w:r w:rsidR="00B716B1" w:rsidRPr="00B716B1">
              <w:rPr>
                <w:rFonts w:ascii="Times New Roman" w:hAnsi="Times New Roman" w:cs="Times New Roman"/>
                <w:color w:val="000000"/>
              </w:rPr>
              <w:t xml:space="preserve"> задани</w:t>
            </w:r>
            <w:r w:rsidR="00042B4A">
              <w:rPr>
                <w:rFonts w:ascii="Times New Roman" w:hAnsi="Times New Roman" w:cs="Times New Roman"/>
                <w:color w:val="000000"/>
              </w:rPr>
              <w:t>ем</w:t>
            </w:r>
            <w:r w:rsidR="00B716B1" w:rsidRPr="00B716B1">
              <w:rPr>
                <w:rFonts w:ascii="Times New Roman" w:hAnsi="Times New Roman" w:cs="Times New Roman"/>
                <w:color w:val="000000"/>
              </w:rPr>
              <w:t xml:space="preserve"> (задани</w:t>
            </w:r>
            <w:r w:rsidR="00042B4A">
              <w:rPr>
                <w:rFonts w:ascii="Times New Roman" w:hAnsi="Times New Roman" w:cs="Times New Roman"/>
                <w:color w:val="000000"/>
              </w:rPr>
              <w:t>ем</w:t>
            </w:r>
            <w:r w:rsidR="00B716B1" w:rsidRPr="00B716B1">
              <w:rPr>
                <w:rFonts w:ascii="Times New Roman" w:hAnsi="Times New Roman" w:cs="Times New Roman"/>
                <w:color w:val="000000"/>
              </w:rPr>
              <w:t xml:space="preserve"> на проектирование)</w:t>
            </w:r>
            <w:r w:rsidRPr="00F9587C">
              <w:rPr>
                <w:rFonts w:ascii="Times New Roman" w:hAnsi="Times New Roman" w:cs="Times New Roman"/>
                <w:color w:val="000000"/>
              </w:rPr>
              <w:t xml:space="preserve">, </w:t>
            </w:r>
            <w:r w:rsidR="007E2F22" w:rsidRPr="007E2F22">
              <w:rPr>
                <w:rFonts w:ascii="Times New Roman" w:hAnsi="Times New Roman" w:cs="Times New Roman"/>
                <w:color w:val="000000"/>
              </w:rPr>
              <w:t>описания объекта закупки</w:t>
            </w:r>
            <w:r w:rsidR="007E2F22">
              <w:rPr>
                <w:rFonts w:ascii="Times New Roman" w:hAnsi="Times New Roman" w:cs="Times New Roman"/>
                <w:color w:val="000000"/>
              </w:rPr>
              <w:t>,</w:t>
            </w:r>
            <w:r w:rsidR="007E2F22" w:rsidRPr="007E2F22">
              <w:rPr>
                <w:rFonts w:ascii="Times New Roman" w:hAnsi="Times New Roman" w:cs="Times New Roman"/>
                <w:color w:val="000000"/>
              </w:rPr>
              <w:t xml:space="preserve"> </w:t>
            </w:r>
            <w:r w:rsidRPr="00F9587C">
              <w:rPr>
                <w:rFonts w:ascii="Times New Roman" w:hAnsi="Times New Roman" w:cs="Times New Roman"/>
                <w:color w:val="000000"/>
              </w:rPr>
              <w:t xml:space="preserve">а также содержащему сведения о способах и/или методике выполнения работ, детализацией документации и объемов работ применительно к объекту, указанием технико-экономических показателей проектируемого объекта, которое признано соответствующим требованиям, предъявляемым к предложению, присваивается </w:t>
            </w:r>
            <w:r w:rsidR="00D3789E">
              <w:rPr>
                <w:rFonts w:ascii="Times New Roman" w:hAnsi="Times New Roman" w:cs="Times New Roman"/>
                <w:color w:val="000000"/>
              </w:rPr>
              <w:t>7</w:t>
            </w:r>
            <w:r w:rsidRPr="00F9587C">
              <w:rPr>
                <w:rFonts w:ascii="Times New Roman" w:hAnsi="Times New Roman" w:cs="Times New Roman"/>
                <w:color w:val="000000"/>
              </w:rPr>
              <w:t>5 баллов;</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xml:space="preserve">Предложению, представленному в отношении всех работ, предусмотренных </w:t>
            </w:r>
            <w:r w:rsidR="007E2F22" w:rsidRPr="007E2F22">
              <w:rPr>
                <w:rFonts w:ascii="Times New Roman" w:hAnsi="Times New Roman" w:cs="Times New Roman"/>
                <w:color w:val="000000"/>
              </w:rPr>
              <w:t>техническ</w:t>
            </w:r>
            <w:r w:rsidR="00315B2F">
              <w:rPr>
                <w:rFonts w:ascii="Times New Roman" w:hAnsi="Times New Roman" w:cs="Times New Roman"/>
                <w:color w:val="000000"/>
              </w:rPr>
              <w:t>им</w:t>
            </w:r>
            <w:r w:rsidR="007E2F22" w:rsidRPr="007E2F22">
              <w:rPr>
                <w:rFonts w:ascii="Times New Roman" w:hAnsi="Times New Roman" w:cs="Times New Roman"/>
                <w:color w:val="000000"/>
              </w:rPr>
              <w:t xml:space="preserve"> задани</w:t>
            </w:r>
            <w:r w:rsidR="00315B2F">
              <w:rPr>
                <w:rFonts w:ascii="Times New Roman" w:hAnsi="Times New Roman" w:cs="Times New Roman"/>
                <w:color w:val="000000"/>
              </w:rPr>
              <w:t>ем</w:t>
            </w:r>
            <w:r w:rsidR="007E2F22" w:rsidRPr="007E2F22">
              <w:rPr>
                <w:rFonts w:ascii="Times New Roman" w:hAnsi="Times New Roman" w:cs="Times New Roman"/>
                <w:color w:val="000000"/>
              </w:rPr>
              <w:t xml:space="preserve"> (задани</w:t>
            </w:r>
            <w:r w:rsidR="00315B2F">
              <w:rPr>
                <w:rFonts w:ascii="Times New Roman" w:hAnsi="Times New Roman" w:cs="Times New Roman"/>
                <w:color w:val="000000"/>
              </w:rPr>
              <w:t>ем</w:t>
            </w:r>
            <w:r w:rsidR="007E2F22" w:rsidRPr="007E2F22">
              <w:rPr>
                <w:rFonts w:ascii="Times New Roman" w:hAnsi="Times New Roman" w:cs="Times New Roman"/>
                <w:color w:val="000000"/>
              </w:rPr>
              <w:t xml:space="preserve"> на проектирование)</w:t>
            </w:r>
            <w:r w:rsidRPr="00F9587C">
              <w:rPr>
                <w:rFonts w:ascii="Times New Roman" w:hAnsi="Times New Roman" w:cs="Times New Roman"/>
                <w:color w:val="000000"/>
              </w:rPr>
              <w:t xml:space="preserve">, </w:t>
            </w:r>
            <w:r w:rsidR="007E2F22" w:rsidRPr="007E2F22">
              <w:rPr>
                <w:rFonts w:ascii="Times New Roman" w:hAnsi="Times New Roman" w:cs="Times New Roman"/>
                <w:color w:val="000000"/>
              </w:rPr>
              <w:t xml:space="preserve">описания объекта закупки </w:t>
            </w:r>
            <w:r w:rsidRPr="00F9587C">
              <w:rPr>
                <w:rFonts w:ascii="Times New Roman" w:hAnsi="Times New Roman" w:cs="Times New Roman"/>
                <w:color w:val="000000"/>
              </w:rPr>
              <w:t xml:space="preserve">отсутствует или не полная детализация документации и объемов работ применительно к объекту, а также содержащему сведения о способах и/или методике выполнения работ, которое признано соответствующим требованиям, предъявляемым к предложению, присваивается </w:t>
            </w:r>
            <w:r w:rsidR="00D3789E">
              <w:rPr>
                <w:rFonts w:ascii="Times New Roman" w:hAnsi="Times New Roman" w:cs="Times New Roman"/>
                <w:color w:val="000000"/>
              </w:rPr>
              <w:t>5</w:t>
            </w:r>
            <w:r w:rsidR="0098454F">
              <w:rPr>
                <w:rFonts w:ascii="Times New Roman" w:hAnsi="Times New Roman" w:cs="Times New Roman"/>
                <w:color w:val="000000"/>
              </w:rPr>
              <w:t>0</w:t>
            </w:r>
            <w:r w:rsidRPr="00F9587C">
              <w:rPr>
                <w:rFonts w:ascii="Times New Roman" w:hAnsi="Times New Roman" w:cs="Times New Roman"/>
                <w:color w:val="000000"/>
              </w:rPr>
              <w:t xml:space="preserve"> баллов;</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 xml:space="preserve">Предложение, исходя из которого не предоставлено предложение по показателю, или </w:t>
            </w:r>
            <w:r w:rsidRPr="00F9587C">
              <w:rPr>
                <w:rFonts w:ascii="Times New Roman" w:hAnsi="Times New Roman" w:cs="Times New Roman"/>
                <w:color w:val="000000"/>
              </w:rPr>
              <w:lastRenderedPageBreak/>
              <w:t xml:space="preserve">представлено только скопированное задания на проектирование на разработку проектной документации, или предложение, признано не соответствующим требованиям, </w:t>
            </w:r>
            <w:r w:rsidR="008231F3" w:rsidRPr="008231F3">
              <w:rPr>
                <w:rFonts w:ascii="Times New Roman" w:hAnsi="Times New Roman" w:cs="Times New Roman"/>
                <w:color w:val="000000"/>
              </w:rPr>
              <w:t xml:space="preserve">приведены ссылки на недействующие нормативы и/или стандарты, </w:t>
            </w:r>
            <w:r w:rsidRPr="00F9587C">
              <w:rPr>
                <w:rFonts w:ascii="Times New Roman" w:hAnsi="Times New Roman" w:cs="Times New Roman"/>
                <w:color w:val="000000"/>
              </w:rPr>
              <w:t>предъявляемым к предложению, присваивается 0 баллов.</w:t>
            </w:r>
          </w:p>
          <w:p w:rsidR="00F9587C" w:rsidRPr="00F9587C"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Под нормативными документами стоит понимать документы, в соответствии с которыми необходимо выполнять работы, при этом ссылка на них должна находить свое место в технической части конкурсной документации.</w:t>
            </w:r>
          </w:p>
          <w:p w:rsidR="00AA77DD" w:rsidRPr="00AA77DD" w:rsidRDefault="00F9587C" w:rsidP="00F9587C">
            <w:pPr>
              <w:pStyle w:val="ConsPlusNormal"/>
              <w:tabs>
                <w:tab w:val="left" w:pos="993"/>
              </w:tabs>
              <w:ind w:firstLine="318"/>
              <w:contextualSpacing/>
              <w:jc w:val="both"/>
              <w:rPr>
                <w:rFonts w:ascii="Times New Roman" w:hAnsi="Times New Roman" w:cs="Times New Roman"/>
                <w:color w:val="000000"/>
              </w:rPr>
            </w:pPr>
            <w:r w:rsidRPr="00F9587C">
              <w:rPr>
                <w:rFonts w:ascii="Times New Roman" w:hAnsi="Times New Roman" w:cs="Times New Roman"/>
                <w:color w:val="00000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rsidR="00582A75" w:rsidRPr="00EB3CE2" w:rsidRDefault="003D6013" w:rsidP="00B47DA8">
            <w:pPr>
              <w:pStyle w:val="ConsPlusNormal"/>
              <w:tabs>
                <w:tab w:val="left" w:pos="993"/>
              </w:tabs>
              <w:ind w:firstLine="318"/>
              <w:contextualSpacing/>
              <w:jc w:val="both"/>
              <w:rPr>
                <w:rFonts w:ascii="Times New Roman" w:hAnsi="Times New Roman" w:cs="Times New Roman"/>
                <w:color w:val="000000"/>
              </w:rPr>
            </w:pPr>
            <w:r w:rsidRPr="003D6013">
              <w:rPr>
                <w:rFonts w:ascii="Times New Roman" w:hAnsi="Times New Roman" w:cs="Times New Roman"/>
                <w:color w:val="000000"/>
              </w:rPr>
              <w:t>Лучшее предложение (максимальная степень выгодности) выбирается из (среди) всех представленных предложений всех участников конкурса исходя из их предложений. Лучшему предложению (с максимальной степенью выгодности) присваивается максимальное количество баллов. Остальным заявкам по данному значению критерия баллы присваиваются по уменьшению степени выгодности предложения.</w:t>
            </w:r>
          </w:p>
        </w:tc>
        <w:tc>
          <w:tcPr>
            <w:tcW w:w="2891" w:type="dxa"/>
            <w:tcBorders>
              <w:top w:val="single" w:sz="4" w:space="0" w:color="auto"/>
              <w:left w:val="single" w:sz="4" w:space="0" w:color="auto"/>
              <w:right w:val="single" w:sz="4" w:space="0" w:color="auto"/>
            </w:tcBorders>
          </w:tcPr>
          <w:p w:rsidR="00582A75" w:rsidRDefault="00582A75" w:rsidP="00076C97">
            <w:pPr>
              <w:autoSpaceDE w:val="0"/>
              <w:autoSpaceDN w:val="0"/>
              <w:adjustRightInd w:val="0"/>
              <w:spacing w:after="0" w:line="240" w:lineRule="auto"/>
              <w:jc w:val="both"/>
              <w:rPr>
                <w:rFonts w:ascii="Times New Roman" w:hAnsi="Times New Roman" w:cs="Times New Roman"/>
              </w:rPr>
            </w:pPr>
            <w:r w:rsidRPr="00EB3CE2">
              <w:rPr>
                <w:rFonts w:ascii="Times New Roman" w:hAnsi="Times New Roman" w:cs="Times New Roman"/>
              </w:rPr>
              <w:lastRenderedPageBreak/>
              <w:t xml:space="preserve">Сведения предоставляются в </w:t>
            </w:r>
            <w:r w:rsidR="002864C0">
              <w:rPr>
                <w:rFonts w:ascii="Times New Roman" w:hAnsi="Times New Roman" w:cs="Times New Roman"/>
              </w:rPr>
              <w:t xml:space="preserve">виде </w:t>
            </w:r>
            <w:r w:rsidR="002864C0" w:rsidRPr="00EB3CE2">
              <w:rPr>
                <w:rFonts w:ascii="Times New Roman" w:hAnsi="Times New Roman" w:cs="Times New Roman"/>
              </w:rPr>
              <w:t>предложения</w:t>
            </w:r>
            <w:r w:rsidRPr="00EB3CE2">
              <w:rPr>
                <w:rFonts w:ascii="Times New Roman" w:hAnsi="Times New Roman" w:cs="Times New Roman"/>
              </w:rPr>
              <w:t xml:space="preserve"> участника открытого конкурса в электронной форме </w:t>
            </w:r>
            <w:r>
              <w:rPr>
                <w:rFonts w:ascii="Times New Roman" w:hAnsi="Times New Roman" w:cs="Times New Roman"/>
              </w:rPr>
              <w:t>в свободной описательной форме.</w:t>
            </w:r>
          </w:p>
          <w:p w:rsidR="00582A75" w:rsidRPr="00EB3CE2" w:rsidRDefault="00582A75" w:rsidP="003923C8">
            <w:pPr>
              <w:autoSpaceDE w:val="0"/>
              <w:autoSpaceDN w:val="0"/>
              <w:adjustRightInd w:val="0"/>
              <w:spacing w:after="0" w:line="240" w:lineRule="auto"/>
              <w:rPr>
                <w:rFonts w:ascii="Times New Roman" w:eastAsia="Calibri" w:hAnsi="Times New Roman" w:cs="Times New Roman"/>
              </w:rPr>
            </w:pPr>
          </w:p>
        </w:tc>
      </w:tr>
    </w:tbl>
    <w:p w:rsidR="00783DE3" w:rsidRDefault="00783DE3" w:rsidP="00E87A62">
      <w:pPr>
        <w:widowControl w:val="0"/>
        <w:spacing w:after="0" w:line="240" w:lineRule="auto"/>
        <w:ind w:firstLine="709"/>
        <w:jc w:val="both"/>
        <w:outlineLvl w:val="0"/>
        <w:rPr>
          <w:rFonts w:ascii="Times New Roman" w:hAnsi="Times New Roman" w:cs="Times New Roman"/>
          <w:sz w:val="28"/>
          <w:szCs w:val="28"/>
        </w:rPr>
      </w:pPr>
    </w:p>
    <w:p w:rsidR="00187600" w:rsidRPr="00EC6C7C" w:rsidRDefault="00187600" w:rsidP="00E87A62">
      <w:pPr>
        <w:widowControl w:val="0"/>
        <w:spacing w:after="0" w:line="240" w:lineRule="auto"/>
        <w:ind w:firstLine="709"/>
        <w:jc w:val="both"/>
        <w:outlineLvl w:val="0"/>
        <w:rPr>
          <w:rFonts w:ascii="Times New Roman" w:hAnsi="Times New Roman" w:cs="Times New Roman"/>
          <w:sz w:val="28"/>
          <w:szCs w:val="28"/>
        </w:rPr>
      </w:pPr>
    </w:p>
    <w:p w:rsidR="00EC6C7C" w:rsidRPr="00E87A62" w:rsidRDefault="00BA3FED" w:rsidP="00BA3FED">
      <w:pPr>
        <w:pStyle w:val="a3"/>
        <w:widowControl w:val="0"/>
        <w:spacing w:after="0" w:line="240" w:lineRule="auto"/>
        <w:ind w:left="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3. </w:t>
      </w:r>
      <w:r w:rsidR="00442B4E">
        <w:rPr>
          <w:rFonts w:ascii="Times New Roman" w:hAnsi="Times New Roman" w:cs="Times New Roman"/>
          <w:b/>
          <w:bCs/>
          <w:sz w:val="28"/>
          <w:szCs w:val="28"/>
        </w:rPr>
        <w:t>Критерий</w:t>
      </w:r>
      <w:r w:rsidR="004A75AB">
        <w:rPr>
          <w:rFonts w:ascii="Times New Roman" w:hAnsi="Times New Roman" w:cs="Times New Roman"/>
          <w:b/>
          <w:bCs/>
          <w:sz w:val="28"/>
          <w:szCs w:val="28"/>
        </w:rPr>
        <w:t xml:space="preserve"> </w:t>
      </w:r>
      <w:r w:rsidR="00E87A62" w:rsidRPr="00E87A62">
        <w:rPr>
          <w:rFonts w:ascii="Times New Roman" w:hAnsi="Times New Roman" w:cs="Times New Roman"/>
          <w:b/>
          <w:bCs/>
          <w:sz w:val="28"/>
          <w:szCs w:val="28"/>
        </w:rPr>
        <w:t>«</w:t>
      </w:r>
      <w:r w:rsidR="00EC6C7C" w:rsidRPr="00E87A62">
        <w:rPr>
          <w:rFonts w:ascii="Times New Roman" w:hAnsi="Times New Roman" w:cs="Times New Roman"/>
          <w:b/>
          <w:bCs/>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E87A62" w:rsidRPr="00E87A62">
        <w:rPr>
          <w:rFonts w:ascii="Times New Roman" w:hAnsi="Times New Roman" w:cs="Times New Roman"/>
          <w:b/>
          <w:bCs/>
          <w:sz w:val="28"/>
          <w:szCs w:val="28"/>
        </w:rPr>
        <w:t>»</w:t>
      </w:r>
      <w:r w:rsidR="00EC6C7C" w:rsidRPr="00E87A62">
        <w:rPr>
          <w:rFonts w:ascii="Times New Roman" w:hAnsi="Times New Roman" w:cs="Times New Roman"/>
          <w:b/>
          <w:bCs/>
          <w:sz w:val="28"/>
          <w:szCs w:val="28"/>
        </w:rPr>
        <w:t>.</w:t>
      </w:r>
    </w:p>
    <w:p w:rsidR="00EC6C7C" w:rsidRPr="00EC6C7C" w:rsidRDefault="00EC6C7C" w:rsidP="00E87A62">
      <w:pPr>
        <w:widowControl w:val="0"/>
        <w:spacing w:after="0" w:line="240" w:lineRule="auto"/>
        <w:jc w:val="both"/>
        <w:outlineLvl w:val="0"/>
        <w:rPr>
          <w:rFonts w:ascii="Times New Roman" w:hAnsi="Times New Roman" w:cs="Times New Roman"/>
          <w:b/>
          <w:bCs/>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254"/>
        <w:gridCol w:w="2888"/>
        <w:gridCol w:w="4806"/>
        <w:gridCol w:w="2791"/>
      </w:tblGrid>
      <w:tr w:rsidR="001F2213" w:rsidRPr="00222E88" w:rsidTr="00612FA7">
        <w:tc>
          <w:tcPr>
            <w:tcW w:w="2501" w:type="dxa"/>
            <w:tcBorders>
              <w:top w:val="single" w:sz="4" w:space="0" w:color="auto"/>
              <w:left w:val="single" w:sz="4" w:space="0" w:color="auto"/>
              <w:bottom w:val="single" w:sz="4" w:space="0" w:color="auto"/>
              <w:right w:val="single" w:sz="4" w:space="0" w:color="auto"/>
            </w:tcBorders>
            <w:vAlign w:val="center"/>
            <w:hideMark/>
          </w:tcPr>
          <w:p w:rsidR="00222E88" w:rsidRPr="00BA3FED" w:rsidRDefault="00222E88" w:rsidP="00E87A62">
            <w:pPr>
              <w:spacing w:after="0" w:line="240" w:lineRule="auto"/>
              <w:jc w:val="center"/>
              <w:rPr>
                <w:rFonts w:ascii="Times New Roman" w:hAnsi="Times New Roman" w:cs="Times New Roman"/>
                <w:sz w:val="24"/>
                <w:szCs w:val="24"/>
              </w:rPr>
            </w:pPr>
            <w:r w:rsidRPr="00BA3FED">
              <w:rPr>
                <w:rFonts w:ascii="Times New Roman" w:hAnsi="Times New Roman" w:cs="Times New Roman"/>
                <w:b/>
                <w:bCs/>
                <w:sz w:val="24"/>
                <w:szCs w:val="24"/>
              </w:rPr>
              <w:t xml:space="preserve">Наименование </w:t>
            </w:r>
            <w:r w:rsidRPr="00BA3FED">
              <w:rPr>
                <w:rFonts w:ascii="Times New Roman" w:hAnsi="Times New Roman" w:cs="Times New Roman"/>
                <w:b/>
                <w:bCs/>
                <w:sz w:val="24"/>
                <w:szCs w:val="24"/>
              </w:rPr>
              <w:lastRenderedPageBreak/>
              <w:t>показателя критерия</w:t>
            </w:r>
          </w:p>
        </w:tc>
        <w:tc>
          <w:tcPr>
            <w:tcW w:w="2254" w:type="dxa"/>
            <w:tcBorders>
              <w:top w:val="single" w:sz="4" w:space="0" w:color="auto"/>
              <w:left w:val="single" w:sz="4" w:space="0" w:color="auto"/>
              <w:bottom w:val="single" w:sz="4" w:space="0" w:color="auto"/>
              <w:right w:val="single" w:sz="4" w:space="0" w:color="auto"/>
            </w:tcBorders>
            <w:vAlign w:val="center"/>
            <w:hideMark/>
          </w:tcPr>
          <w:p w:rsidR="00222E88" w:rsidRPr="00BA3FED" w:rsidRDefault="00222E88" w:rsidP="00E87A62">
            <w:pPr>
              <w:spacing w:after="0" w:line="240" w:lineRule="auto"/>
              <w:jc w:val="center"/>
              <w:rPr>
                <w:rFonts w:ascii="Times New Roman" w:hAnsi="Times New Roman" w:cs="Times New Roman"/>
                <w:b/>
                <w:bCs/>
                <w:sz w:val="24"/>
                <w:szCs w:val="24"/>
              </w:rPr>
            </w:pPr>
            <w:r w:rsidRPr="00BA3FED">
              <w:rPr>
                <w:rFonts w:ascii="Times New Roman" w:hAnsi="Times New Roman" w:cs="Times New Roman"/>
                <w:b/>
                <w:bCs/>
                <w:sz w:val="24"/>
                <w:szCs w:val="24"/>
              </w:rPr>
              <w:lastRenderedPageBreak/>
              <w:t>Значение</w:t>
            </w:r>
          </w:p>
        </w:tc>
        <w:tc>
          <w:tcPr>
            <w:tcW w:w="2888" w:type="dxa"/>
            <w:tcBorders>
              <w:top w:val="single" w:sz="4" w:space="0" w:color="auto"/>
              <w:left w:val="single" w:sz="4" w:space="0" w:color="auto"/>
              <w:bottom w:val="single" w:sz="4" w:space="0" w:color="auto"/>
              <w:right w:val="single" w:sz="4" w:space="0" w:color="auto"/>
            </w:tcBorders>
            <w:vAlign w:val="center"/>
            <w:hideMark/>
          </w:tcPr>
          <w:p w:rsidR="00222E88" w:rsidRPr="00BA3FED" w:rsidRDefault="00222E88" w:rsidP="00E87A62">
            <w:pPr>
              <w:spacing w:after="0" w:line="240" w:lineRule="auto"/>
              <w:jc w:val="center"/>
              <w:rPr>
                <w:rFonts w:ascii="Times New Roman" w:hAnsi="Times New Roman" w:cs="Times New Roman"/>
                <w:sz w:val="24"/>
                <w:szCs w:val="24"/>
              </w:rPr>
            </w:pPr>
            <w:r w:rsidRPr="00BA3FED">
              <w:rPr>
                <w:rFonts w:ascii="Times New Roman" w:hAnsi="Times New Roman" w:cs="Times New Roman"/>
                <w:b/>
                <w:bCs/>
                <w:sz w:val="24"/>
                <w:szCs w:val="24"/>
              </w:rPr>
              <w:t xml:space="preserve">Величина значимости </w:t>
            </w:r>
            <w:r w:rsidRPr="00BA3FED">
              <w:rPr>
                <w:rFonts w:ascii="Times New Roman" w:hAnsi="Times New Roman" w:cs="Times New Roman"/>
                <w:b/>
                <w:bCs/>
                <w:sz w:val="24"/>
                <w:szCs w:val="24"/>
              </w:rPr>
              <w:lastRenderedPageBreak/>
              <w:t>показателя критерия оценки в процентах</w:t>
            </w:r>
            <w:r w:rsidR="00CE516A">
              <w:rPr>
                <w:rFonts w:ascii="Times New Roman" w:hAnsi="Times New Roman" w:cs="Times New Roman"/>
                <w:b/>
                <w:bCs/>
                <w:sz w:val="24"/>
                <w:szCs w:val="24"/>
              </w:rPr>
              <w:t>/коэффициент значимости показателя</w:t>
            </w:r>
          </w:p>
        </w:tc>
        <w:tc>
          <w:tcPr>
            <w:tcW w:w="4806" w:type="dxa"/>
            <w:tcBorders>
              <w:top w:val="single" w:sz="4" w:space="0" w:color="auto"/>
              <w:left w:val="single" w:sz="4" w:space="0" w:color="auto"/>
              <w:bottom w:val="single" w:sz="4" w:space="0" w:color="auto"/>
              <w:right w:val="single" w:sz="4" w:space="0" w:color="auto"/>
            </w:tcBorders>
            <w:vAlign w:val="center"/>
            <w:hideMark/>
          </w:tcPr>
          <w:p w:rsidR="00222E88" w:rsidRPr="00BA3FED" w:rsidRDefault="00222E88" w:rsidP="00E87A62">
            <w:pPr>
              <w:autoSpaceDE w:val="0"/>
              <w:autoSpaceDN w:val="0"/>
              <w:adjustRightInd w:val="0"/>
              <w:spacing w:after="0" w:line="240" w:lineRule="auto"/>
              <w:jc w:val="center"/>
              <w:rPr>
                <w:rFonts w:ascii="Times New Roman" w:hAnsi="Times New Roman" w:cs="Times New Roman"/>
                <w:b/>
                <w:bCs/>
                <w:sz w:val="24"/>
                <w:szCs w:val="24"/>
              </w:rPr>
            </w:pPr>
            <w:r w:rsidRPr="00BA3FED">
              <w:rPr>
                <w:rFonts w:ascii="Times New Roman" w:hAnsi="Times New Roman" w:cs="Times New Roman"/>
                <w:b/>
                <w:bCs/>
                <w:sz w:val="24"/>
                <w:szCs w:val="24"/>
              </w:rPr>
              <w:lastRenderedPageBreak/>
              <w:t xml:space="preserve">Формула расчета количества баллов и </w:t>
            </w:r>
            <w:r w:rsidRPr="00BA3FED">
              <w:rPr>
                <w:rFonts w:ascii="Times New Roman" w:hAnsi="Times New Roman" w:cs="Times New Roman"/>
                <w:b/>
                <w:bCs/>
                <w:sz w:val="24"/>
                <w:szCs w:val="24"/>
              </w:rPr>
              <w:lastRenderedPageBreak/>
              <w:t>(или) шкала оценки или шкала предельных величин значимости показателей оценки, устанавливающая интервалы их изменений, или порядок их определения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222E88" w:rsidRPr="00BA3FED" w:rsidRDefault="00222E88" w:rsidP="00E87A62">
            <w:pPr>
              <w:autoSpaceDE w:val="0"/>
              <w:autoSpaceDN w:val="0"/>
              <w:adjustRightInd w:val="0"/>
              <w:spacing w:after="0" w:line="240" w:lineRule="auto"/>
              <w:jc w:val="center"/>
              <w:rPr>
                <w:rFonts w:ascii="Times New Roman" w:hAnsi="Times New Roman" w:cs="Times New Roman"/>
                <w:b/>
                <w:bCs/>
                <w:sz w:val="24"/>
                <w:szCs w:val="24"/>
              </w:rPr>
            </w:pPr>
            <w:r w:rsidRPr="00BA3FED">
              <w:rPr>
                <w:rFonts w:ascii="Times New Roman" w:hAnsi="Times New Roman" w:cs="Times New Roman"/>
                <w:b/>
                <w:bCs/>
                <w:sz w:val="24"/>
                <w:szCs w:val="24"/>
              </w:rPr>
              <w:lastRenderedPageBreak/>
              <w:t xml:space="preserve">Документы, </w:t>
            </w:r>
            <w:r w:rsidRPr="00BA3FED">
              <w:rPr>
                <w:rFonts w:ascii="Times New Roman" w:hAnsi="Times New Roman" w:cs="Times New Roman"/>
                <w:b/>
                <w:bCs/>
                <w:sz w:val="24"/>
                <w:szCs w:val="24"/>
              </w:rPr>
              <w:lastRenderedPageBreak/>
              <w:t>подтверждающие квалификацию участника</w:t>
            </w:r>
            <w:r w:rsidR="00676BB1">
              <w:rPr>
                <w:rFonts w:ascii="Times New Roman" w:hAnsi="Times New Roman" w:cs="Times New Roman"/>
                <w:b/>
                <w:bCs/>
                <w:sz w:val="24"/>
                <w:szCs w:val="24"/>
              </w:rPr>
              <w:t>**</w:t>
            </w:r>
          </w:p>
        </w:tc>
      </w:tr>
      <w:tr w:rsidR="001F2213" w:rsidRPr="00222E88" w:rsidTr="00612FA7">
        <w:tc>
          <w:tcPr>
            <w:tcW w:w="2501" w:type="dxa"/>
            <w:tcBorders>
              <w:left w:val="single" w:sz="4" w:space="0" w:color="auto"/>
              <w:bottom w:val="single" w:sz="4" w:space="0" w:color="auto"/>
              <w:right w:val="single" w:sz="4" w:space="0" w:color="auto"/>
            </w:tcBorders>
          </w:tcPr>
          <w:p w:rsidR="00A649FD" w:rsidRPr="001E5300" w:rsidRDefault="00EB79D7" w:rsidP="00EB79D7">
            <w:pPr>
              <w:pStyle w:val="a3"/>
              <w:numPr>
                <w:ilvl w:val="0"/>
                <w:numId w:val="10"/>
              </w:numPr>
              <w:autoSpaceDE w:val="0"/>
              <w:autoSpaceDN w:val="0"/>
              <w:adjustRightInd w:val="0"/>
              <w:spacing w:after="0" w:line="240" w:lineRule="auto"/>
              <w:ind w:left="0" w:firstLine="0"/>
              <w:rPr>
                <w:rStyle w:val="20"/>
                <w:rFonts w:eastAsiaTheme="minorHAnsi"/>
                <w:sz w:val="22"/>
                <w:szCs w:val="22"/>
              </w:rPr>
            </w:pPr>
            <w:r w:rsidRPr="00EB79D7">
              <w:rPr>
                <w:rStyle w:val="20"/>
                <w:rFonts w:eastAsiaTheme="minorHAnsi"/>
                <w:sz w:val="22"/>
                <w:szCs w:val="22"/>
              </w:rPr>
              <w:lastRenderedPageBreak/>
              <w:t>Опыт участника по успешному выполнению работ сопоставимого характера* и объема</w:t>
            </w:r>
          </w:p>
        </w:tc>
        <w:tc>
          <w:tcPr>
            <w:tcW w:w="2254" w:type="dxa"/>
            <w:tcBorders>
              <w:top w:val="single" w:sz="4" w:space="0" w:color="auto"/>
              <w:left w:val="single" w:sz="4" w:space="0" w:color="auto"/>
              <w:bottom w:val="single" w:sz="4" w:space="0" w:color="auto"/>
              <w:right w:val="single" w:sz="4" w:space="0" w:color="auto"/>
            </w:tcBorders>
          </w:tcPr>
          <w:p w:rsidR="00A649FD" w:rsidRPr="00BA3FED" w:rsidRDefault="00EB79D7" w:rsidP="008F62A4">
            <w:pPr>
              <w:autoSpaceDE w:val="0"/>
              <w:autoSpaceDN w:val="0"/>
              <w:adjustRightInd w:val="0"/>
              <w:spacing w:after="0" w:line="240" w:lineRule="auto"/>
              <w:rPr>
                <w:rFonts w:ascii="Times New Roman" w:hAnsi="Times New Roman" w:cs="Times New Roman"/>
              </w:rPr>
            </w:pPr>
            <w:r w:rsidRPr="00EB79D7">
              <w:rPr>
                <w:rFonts w:ascii="Times New Roman" w:hAnsi="Times New Roman" w:cs="Times New Roman"/>
              </w:rPr>
              <w:t xml:space="preserve">Количество исполненных участником закупки контрактов (договоров), заключенных за последние 4 года, предшествующих дате окончания срока подачи заявок на участие в открытом конкурсе в электронной форме, стоимость по каждому </w:t>
            </w:r>
            <w:r w:rsidR="008F62A4">
              <w:rPr>
                <w:rFonts w:ascii="Times New Roman" w:hAnsi="Times New Roman" w:cs="Times New Roman"/>
              </w:rPr>
              <w:t xml:space="preserve">из которых составляет не менее 25 </w:t>
            </w:r>
            <w:r w:rsidRPr="00EB79D7">
              <w:rPr>
                <w:rFonts w:ascii="Times New Roman" w:hAnsi="Times New Roman" w:cs="Times New Roman"/>
              </w:rPr>
              <w:t>% начальной</w:t>
            </w:r>
            <w:r>
              <w:rPr>
                <w:rFonts w:ascii="Times New Roman" w:hAnsi="Times New Roman" w:cs="Times New Roman"/>
              </w:rPr>
              <w:t xml:space="preserve"> (максимальной) цены контракта</w:t>
            </w:r>
          </w:p>
        </w:tc>
        <w:tc>
          <w:tcPr>
            <w:tcW w:w="2888" w:type="dxa"/>
            <w:tcBorders>
              <w:top w:val="single" w:sz="4" w:space="0" w:color="auto"/>
              <w:left w:val="single" w:sz="4" w:space="0" w:color="auto"/>
              <w:bottom w:val="single" w:sz="4" w:space="0" w:color="auto"/>
              <w:right w:val="single" w:sz="4" w:space="0" w:color="auto"/>
            </w:tcBorders>
          </w:tcPr>
          <w:p w:rsidR="00A649FD" w:rsidRPr="00BA3FED" w:rsidRDefault="0097452C" w:rsidP="00E50421">
            <w:pPr>
              <w:spacing w:after="0" w:line="240" w:lineRule="auto"/>
              <w:jc w:val="center"/>
              <w:rPr>
                <w:rFonts w:ascii="Times New Roman" w:hAnsi="Times New Roman" w:cs="Times New Roman"/>
                <w:b/>
              </w:rPr>
            </w:pPr>
            <w:r>
              <w:rPr>
                <w:rFonts w:ascii="Times New Roman" w:hAnsi="Times New Roman" w:cs="Times New Roman"/>
                <w:b/>
              </w:rPr>
              <w:t>100\1</w:t>
            </w:r>
          </w:p>
        </w:tc>
        <w:tc>
          <w:tcPr>
            <w:tcW w:w="4806" w:type="dxa"/>
            <w:tcBorders>
              <w:top w:val="single" w:sz="4" w:space="0" w:color="auto"/>
              <w:left w:val="single" w:sz="4" w:space="0" w:color="auto"/>
              <w:bottom w:val="single" w:sz="4" w:space="0" w:color="auto"/>
              <w:right w:val="single" w:sz="4" w:space="0" w:color="auto"/>
            </w:tcBorders>
          </w:tcPr>
          <w:p w:rsidR="0097452C" w:rsidRPr="0097452C" w:rsidRDefault="0097452C" w:rsidP="0097452C">
            <w:pPr>
              <w:widowControl w:val="0"/>
              <w:autoSpaceDE w:val="0"/>
              <w:autoSpaceDN w:val="0"/>
              <w:adjustRightInd w:val="0"/>
              <w:spacing w:after="0"/>
              <w:jc w:val="both"/>
              <w:rPr>
                <w:rFonts w:ascii="Times New Roman" w:hAnsi="Times New Roman" w:cs="Times New Roman"/>
                <w:sz w:val="24"/>
                <w:szCs w:val="24"/>
              </w:rPr>
            </w:pPr>
            <w:r w:rsidRPr="0097452C">
              <w:rPr>
                <w:rFonts w:ascii="Times New Roman" w:hAnsi="Times New Roman" w:cs="Times New Roman"/>
                <w:sz w:val="24"/>
                <w:szCs w:val="24"/>
              </w:rPr>
              <w:t>0 – 0 баллов;</w:t>
            </w:r>
          </w:p>
          <w:p w:rsidR="0097452C" w:rsidRPr="0097452C" w:rsidRDefault="0097452C" w:rsidP="0097452C">
            <w:pPr>
              <w:widowControl w:val="0"/>
              <w:autoSpaceDE w:val="0"/>
              <w:autoSpaceDN w:val="0"/>
              <w:adjustRightInd w:val="0"/>
              <w:spacing w:after="0"/>
              <w:jc w:val="both"/>
              <w:rPr>
                <w:rFonts w:ascii="Times New Roman" w:hAnsi="Times New Roman" w:cs="Times New Roman"/>
                <w:sz w:val="24"/>
                <w:szCs w:val="24"/>
              </w:rPr>
            </w:pPr>
            <w:r w:rsidRPr="0097452C">
              <w:rPr>
                <w:rFonts w:ascii="Times New Roman" w:hAnsi="Times New Roman" w:cs="Times New Roman"/>
                <w:sz w:val="24"/>
                <w:szCs w:val="24"/>
              </w:rPr>
              <w:t>1 - 2 – 20 баллов;</w:t>
            </w:r>
          </w:p>
          <w:p w:rsidR="0097452C" w:rsidRPr="0097452C" w:rsidRDefault="0097452C" w:rsidP="0097452C">
            <w:pPr>
              <w:widowControl w:val="0"/>
              <w:autoSpaceDE w:val="0"/>
              <w:autoSpaceDN w:val="0"/>
              <w:adjustRightInd w:val="0"/>
              <w:spacing w:after="0"/>
              <w:jc w:val="both"/>
              <w:rPr>
                <w:rFonts w:ascii="Times New Roman" w:hAnsi="Times New Roman" w:cs="Times New Roman"/>
                <w:sz w:val="24"/>
                <w:szCs w:val="24"/>
              </w:rPr>
            </w:pPr>
            <w:r w:rsidRPr="0097452C">
              <w:rPr>
                <w:rFonts w:ascii="Times New Roman" w:hAnsi="Times New Roman" w:cs="Times New Roman"/>
                <w:sz w:val="24"/>
                <w:szCs w:val="24"/>
              </w:rPr>
              <w:t>3 - 4 – 40 баллов;</w:t>
            </w:r>
          </w:p>
          <w:p w:rsidR="0097452C" w:rsidRPr="0097452C" w:rsidRDefault="0097452C" w:rsidP="0097452C">
            <w:pPr>
              <w:widowControl w:val="0"/>
              <w:autoSpaceDE w:val="0"/>
              <w:autoSpaceDN w:val="0"/>
              <w:adjustRightInd w:val="0"/>
              <w:spacing w:after="0"/>
              <w:jc w:val="both"/>
              <w:rPr>
                <w:rFonts w:ascii="Times New Roman" w:hAnsi="Times New Roman" w:cs="Times New Roman"/>
                <w:sz w:val="24"/>
                <w:szCs w:val="24"/>
              </w:rPr>
            </w:pPr>
            <w:r w:rsidRPr="0097452C">
              <w:rPr>
                <w:rFonts w:ascii="Times New Roman" w:hAnsi="Times New Roman" w:cs="Times New Roman"/>
                <w:sz w:val="24"/>
                <w:szCs w:val="24"/>
              </w:rPr>
              <w:t>5 - 6 – 60 баллов;</w:t>
            </w:r>
          </w:p>
          <w:p w:rsidR="0097452C" w:rsidRPr="0097452C" w:rsidRDefault="0097452C" w:rsidP="0097452C">
            <w:pPr>
              <w:widowControl w:val="0"/>
              <w:autoSpaceDE w:val="0"/>
              <w:autoSpaceDN w:val="0"/>
              <w:adjustRightInd w:val="0"/>
              <w:spacing w:after="0"/>
              <w:jc w:val="both"/>
              <w:rPr>
                <w:rFonts w:ascii="Times New Roman" w:hAnsi="Times New Roman" w:cs="Times New Roman"/>
                <w:sz w:val="24"/>
                <w:szCs w:val="24"/>
              </w:rPr>
            </w:pPr>
            <w:r w:rsidRPr="0097452C">
              <w:rPr>
                <w:rFonts w:ascii="Times New Roman" w:hAnsi="Times New Roman" w:cs="Times New Roman"/>
                <w:sz w:val="24"/>
                <w:szCs w:val="24"/>
              </w:rPr>
              <w:t>7 - 8 – 80 баллов;</w:t>
            </w:r>
          </w:p>
          <w:p w:rsidR="0097452C" w:rsidRPr="0097452C" w:rsidRDefault="0097452C" w:rsidP="0097452C">
            <w:pPr>
              <w:widowControl w:val="0"/>
              <w:autoSpaceDE w:val="0"/>
              <w:autoSpaceDN w:val="0"/>
              <w:adjustRightInd w:val="0"/>
              <w:spacing w:after="0"/>
              <w:jc w:val="both"/>
              <w:rPr>
                <w:rFonts w:ascii="Times New Roman" w:hAnsi="Times New Roman" w:cs="Times New Roman"/>
                <w:sz w:val="24"/>
                <w:szCs w:val="24"/>
              </w:rPr>
            </w:pPr>
            <w:r w:rsidRPr="0097452C">
              <w:rPr>
                <w:rFonts w:ascii="Times New Roman" w:hAnsi="Times New Roman" w:cs="Times New Roman"/>
                <w:sz w:val="24"/>
                <w:szCs w:val="24"/>
              </w:rPr>
              <w:t>9 - 90 баллов;</w:t>
            </w:r>
          </w:p>
          <w:p w:rsidR="00CE516A" w:rsidRPr="000117F0" w:rsidRDefault="0097452C" w:rsidP="0097452C">
            <w:pPr>
              <w:widowControl w:val="0"/>
              <w:autoSpaceDE w:val="0"/>
              <w:autoSpaceDN w:val="0"/>
              <w:adjustRightInd w:val="0"/>
              <w:spacing w:after="0"/>
              <w:jc w:val="both"/>
              <w:rPr>
                <w:b/>
                <w:sz w:val="20"/>
                <w:szCs w:val="20"/>
              </w:rPr>
            </w:pPr>
            <w:r w:rsidRPr="0097452C">
              <w:rPr>
                <w:rFonts w:ascii="Times New Roman" w:hAnsi="Times New Roman" w:cs="Times New Roman"/>
                <w:sz w:val="24"/>
                <w:szCs w:val="24"/>
              </w:rPr>
              <w:t>10 контрактов (договоров) – 100 баллов</w:t>
            </w:r>
          </w:p>
        </w:tc>
        <w:tc>
          <w:tcPr>
            <w:tcW w:w="2791" w:type="dxa"/>
            <w:tcBorders>
              <w:top w:val="single" w:sz="4" w:space="0" w:color="auto"/>
              <w:left w:val="single" w:sz="4" w:space="0" w:color="auto"/>
              <w:bottom w:val="single" w:sz="4" w:space="0" w:color="auto"/>
              <w:right w:val="single" w:sz="4" w:space="0" w:color="auto"/>
            </w:tcBorders>
          </w:tcPr>
          <w:p w:rsidR="00995FE4" w:rsidRPr="00995FE4" w:rsidRDefault="00995FE4" w:rsidP="00995FE4">
            <w:pPr>
              <w:autoSpaceDE w:val="0"/>
              <w:autoSpaceDN w:val="0"/>
              <w:adjustRightInd w:val="0"/>
              <w:spacing w:after="0" w:line="240" w:lineRule="auto"/>
              <w:jc w:val="both"/>
              <w:rPr>
                <w:rFonts w:ascii="Times New Roman" w:hAnsi="Times New Roman" w:cs="Times New Roman"/>
              </w:rPr>
            </w:pPr>
            <w:r w:rsidRPr="00995FE4">
              <w:rPr>
                <w:rFonts w:ascii="Times New Roman" w:hAnsi="Times New Roman" w:cs="Times New Roman"/>
              </w:rPr>
              <w:t>Копии исполненных контрактов (договоров) на выполнение работ сопоставимого характера* и объема, актов выполненных работ к этим контрактам (договорам)</w:t>
            </w:r>
          </w:p>
          <w:p w:rsidR="00923AC8" w:rsidRPr="00BA3FED" w:rsidRDefault="00995FE4" w:rsidP="008F62A4">
            <w:pPr>
              <w:autoSpaceDE w:val="0"/>
              <w:autoSpaceDN w:val="0"/>
              <w:adjustRightInd w:val="0"/>
              <w:spacing w:after="0" w:line="240" w:lineRule="auto"/>
              <w:jc w:val="both"/>
              <w:rPr>
                <w:rFonts w:ascii="Times New Roman" w:hAnsi="Times New Roman" w:cs="Times New Roman"/>
              </w:rPr>
            </w:pPr>
            <w:r w:rsidRPr="00995FE4">
              <w:rPr>
                <w:rFonts w:ascii="Times New Roman" w:hAnsi="Times New Roman" w:cs="Times New Roman"/>
              </w:rPr>
              <w:t xml:space="preserve">подписанных обеими сторонами (без замечаний со стороны заказчика), заключенных за последние  4 года, предшествующих дате окончания срока подачи заявок на участие в открытом конкурсе в электронной форме, стоимость по каждому из которых составляет не менее </w:t>
            </w:r>
            <w:r w:rsidR="008F62A4">
              <w:rPr>
                <w:rFonts w:ascii="Times New Roman" w:hAnsi="Times New Roman" w:cs="Times New Roman"/>
              </w:rPr>
              <w:t xml:space="preserve">25 </w:t>
            </w:r>
            <w:r w:rsidRPr="00995FE4">
              <w:rPr>
                <w:rFonts w:ascii="Times New Roman" w:hAnsi="Times New Roman" w:cs="Times New Roman"/>
              </w:rPr>
              <w:t>% начальной (максимальной) цены контракта</w:t>
            </w:r>
            <w:r>
              <w:rPr>
                <w:rFonts w:ascii="Times New Roman" w:hAnsi="Times New Roman" w:cs="Times New Roman"/>
              </w:rPr>
              <w:t>.</w:t>
            </w:r>
          </w:p>
        </w:tc>
      </w:tr>
      <w:tr w:rsidR="001F2213" w:rsidRPr="00222E88" w:rsidTr="00612FA7">
        <w:tc>
          <w:tcPr>
            <w:tcW w:w="2501" w:type="dxa"/>
            <w:tcBorders>
              <w:top w:val="single" w:sz="4" w:space="0" w:color="auto"/>
              <w:left w:val="single" w:sz="4" w:space="0" w:color="auto"/>
              <w:bottom w:val="single" w:sz="4" w:space="0" w:color="auto"/>
              <w:right w:val="single" w:sz="4" w:space="0" w:color="auto"/>
            </w:tcBorders>
            <w:hideMark/>
          </w:tcPr>
          <w:p w:rsidR="00182BA1" w:rsidRPr="00BA3FED" w:rsidRDefault="00182BA1" w:rsidP="00BA3FED">
            <w:pPr>
              <w:spacing w:after="0" w:line="240" w:lineRule="auto"/>
              <w:rPr>
                <w:rFonts w:ascii="Times New Roman" w:hAnsi="Times New Roman" w:cs="Times New Roman"/>
                <w:b/>
                <w:bCs/>
              </w:rPr>
            </w:pPr>
            <w:r w:rsidRPr="00BA3FED">
              <w:rPr>
                <w:rFonts w:ascii="Times New Roman" w:hAnsi="Times New Roman" w:cs="Times New Roman"/>
                <w:b/>
                <w:bCs/>
              </w:rPr>
              <w:t>ИТОГО</w:t>
            </w:r>
          </w:p>
        </w:tc>
        <w:tc>
          <w:tcPr>
            <w:tcW w:w="2254" w:type="dxa"/>
            <w:tcBorders>
              <w:top w:val="single" w:sz="4" w:space="0" w:color="auto"/>
              <w:left w:val="single" w:sz="4" w:space="0" w:color="auto"/>
              <w:bottom w:val="single" w:sz="4" w:space="0" w:color="auto"/>
              <w:right w:val="single" w:sz="4" w:space="0" w:color="auto"/>
            </w:tcBorders>
          </w:tcPr>
          <w:p w:rsidR="00182BA1" w:rsidRPr="00BA3FED" w:rsidRDefault="00182BA1" w:rsidP="00BA3FED">
            <w:pPr>
              <w:spacing w:after="0" w:line="240" w:lineRule="auto"/>
              <w:rPr>
                <w:rFonts w:ascii="Times New Roman" w:hAnsi="Times New Roman" w:cs="Times New Roman"/>
                <w:b/>
                <w:bCs/>
              </w:rPr>
            </w:pPr>
          </w:p>
        </w:tc>
        <w:tc>
          <w:tcPr>
            <w:tcW w:w="2888" w:type="dxa"/>
            <w:tcBorders>
              <w:top w:val="single" w:sz="4" w:space="0" w:color="auto"/>
              <w:left w:val="single" w:sz="4" w:space="0" w:color="auto"/>
              <w:bottom w:val="single" w:sz="4" w:space="0" w:color="auto"/>
              <w:right w:val="single" w:sz="4" w:space="0" w:color="auto"/>
            </w:tcBorders>
            <w:hideMark/>
          </w:tcPr>
          <w:p w:rsidR="00182BA1" w:rsidRPr="00BA3FED" w:rsidRDefault="00182BA1" w:rsidP="00BA3FED">
            <w:pPr>
              <w:spacing w:after="0" w:line="240" w:lineRule="auto"/>
              <w:jc w:val="center"/>
              <w:rPr>
                <w:rFonts w:ascii="Times New Roman" w:hAnsi="Times New Roman" w:cs="Times New Roman"/>
                <w:b/>
                <w:bCs/>
              </w:rPr>
            </w:pPr>
            <w:r w:rsidRPr="00BA3FED">
              <w:rPr>
                <w:rFonts w:ascii="Times New Roman" w:hAnsi="Times New Roman" w:cs="Times New Roman"/>
                <w:b/>
                <w:bCs/>
              </w:rPr>
              <w:t>100</w:t>
            </w:r>
          </w:p>
        </w:tc>
        <w:tc>
          <w:tcPr>
            <w:tcW w:w="4806" w:type="dxa"/>
            <w:tcBorders>
              <w:top w:val="single" w:sz="4" w:space="0" w:color="auto"/>
              <w:left w:val="single" w:sz="4" w:space="0" w:color="auto"/>
              <w:bottom w:val="single" w:sz="4" w:space="0" w:color="auto"/>
              <w:right w:val="single" w:sz="4" w:space="0" w:color="auto"/>
            </w:tcBorders>
          </w:tcPr>
          <w:p w:rsidR="00182BA1" w:rsidRPr="00BA3FED" w:rsidRDefault="00182BA1" w:rsidP="00BA3FED">
            <w:pPr>
              <w:spacing w:after="0" w:line="240" w:lineRule="auto"/>
              <w:rPr>
                <w:rFonts w:ascii="Times New Roman" w:hAnsi="Times New Roman" w:cs="Times New Roman"/>
                <w:b/>
                <w:bCs/>
              </w:rPr>
            </w:pPr>
          </w:p>
        </w:tc>
        <w:tc>
          <w:tcPr>
            <w:tcW w:w="2791" w:type="dxa"/>
            <w:tcBorders>
              <w:top w:val="single" w:sz="4" w:space="0" w:color="auto"/>
              <w:left w:val="single" w:sz="4" w:space="0" w:color="auto"/>
              <w:bottom w:val="single" w:sz="4" w:space="0" w:color="auto"/>
              <w:right w:val="single" w:sz="4" w:space="0" w:color="auto"/>
            </w:tcBorders>
          </w:tcPr>
          <w:p w:rsidR="00182BA1" w:rsidRPr="00BA3FED" w:rsidRDefault="00182BA1" w:rsidP="00BA3FED">
            <w:pPr>
              <w:spacing w:after="0" w:line="240" w:lineRule="auto"/>
              <w:rPr>
                <w:rFonts w:ascii="Times New Roman" w:hAnsi="Times New Roman" w:cs="Times New Roman"/>
                <w:b/>
                <w:bCs/>
              </w:rPr>
            </w:pPr>
          </w:p>
        </w:tc>
      </w:tr>
    </w:tbl>
    <w:p w:rsidR="004128AE" w:rsidRDefault="004128AE" w:rsidP="002908D2">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 под выполнением работ сопоставимого характера понимается выполнение проектн</w:t>
      </w:r>
      <w:r w:rsidR="00BA6D50">
        <w:rPr>
          <w:rFonts w:ascii="Times New Roman" w:hAnsi="Times New Roman" w:cs="Times New Roman"/>
          <w:sz w:val="28"/>
          <w:szCs w:val="28"/>
        </w:rPr>
        <w:t>ых</w:t>
      </w:r>
      <w:r w:rsidRPr="00C62908">
        <w:rPr>
          <w:rFonts w:ascii="Times New Roman" w:hAnsi="Times New Roman" w:cs="Times New Roman"/>
          <w:sz w:val="28"/>
          <w:szCs w:val="28"/>
        </w:rPr>
        <w:t xml:space="preserve"> работ по строительству, реконструкции </w:t>
      </w:r>
      <w:r w:rsidR="00BA6D50" w:rsidRPr="00BA6D50">
        <w:rPr>
          <w:rFonts w:ascii="Times New Roman" w:hAnsi="Times New Roman" w:cs="Times New Roman"/>
          <w:sz w:val="28"/>
          <w:szCs w:val="28"/>
        </w:rPr>
        <w:t>для объектов водо - коммунального хозяйства</w:t>
      </w:r>
      <w:r w:rsidRPr="00C62908">
        <w:rPr>
          <w:rFonts w:ascii="Times New Roman" w:hAnsi="Times New Roman" w:cs="Times New Roman"/>
          <w:sz w:val="28"/>
          <w:szCs w:val="28"/>
        </w:rPr>
        <w:t>.</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**Сведения подтверждаются представлением копий следующих документов:</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1)</w:t>
      </w:r>
      <w:r w:rsidRPr="00C62908">
        <w:rPr>
          <w:rFonts w:ascii="Times New Roman" w:hAnsi="Times New Roman" w:cs="Times New Roman"/>
          <w:sz w:val="28"/>
          <w:szCs w:val="28"/>
        </w:rPr>
        <w:tab/>
        <w:t>контрактов (договоров) на выполнение работ, в которых указан установленный срок выполнения работ и их стоимость, а также дополнительные соглашения к контрактам (договорам) при наличии;</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lastRenderedPageBreak/>
        <w:t>2)</w:t>
      </w:r>
      <w:r w:rsidRPr="00C62908">
        <w:rPr>
          <w:rFonts w:ascii="Times New Roman" w:hAnsi="Times New Roman" w:cs="Times New Roman"/>
          <w:sz w:val="28"/>
          <w:szCs w:val="28"/>
        </w:rPr>
        <w:tab/>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 402-ФЗ от 06.12.2011, и подтверждающего (подтверждающих) стоимость ис</w:t>
      </w:r>
      <w:r w:rsidR="008F62A4">
        <w:rPr>
          <w:rFonts w:ascii="Times New Roman" w:hAnsi="Times New Roman" w:cs="Times New Roman"/>
          <w:sz w:val="28"/>
          <w:szCs w:val="28"/>
        </w:rPr>
        <w:t>полненного контракта (договора)</w:t>
      </w:r>
      <w:r w:rsidRPr="00C62908">
        <w:rPr>
          <w:rFonts w:ascii="Times New Roman" w:hAnsi="Times New Roman" w:cs="Times New Roman"/>
          <w:sz w:val="28"/>
          <w:szCs w:val="28"/>
        </w:rPr>
        <w:t>;</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Указанные документы должны быть подписаны за последние 4 года предшествующих дате окончания срока подачи заявок на участие в настоящем конкурсе;</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Начисление баллов производится только по документально подтвержденной информации (все подтверждающие документы должны быть прикреплены к заявке в файлах, формат которых обеспечивает беспрепятственное ознакомление с содержанием).</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При этом представленные документы должны быть в виде неповторяющихся, полно читаемых копий, на которых видны необходимые сведения, подписи и печати.</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Непредставление в составе заявки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В случае отсутствия документа(документов) по данному показателю, участнику присваивается 0 баллов.</w:t>
      </w:r>
      <w:r w:rsidRPr="00C62908">
        <w:rPr>
          <w:rFonts w:ascii="Times New Roman" w:hAnsi="Times New Roman" w:cs="Times New Roman"/>
          <w:sz w:val="28"/>
          <w:szCs w:val="28"/>
        </w:rPr>
        <w:tab/>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 xml:space="preserve">Исходя из предложения участника в отношении каждого показателя критерия, вычисляется рейтинг такого участника в баллах с учетом коэффициента значимости показателя критерия. При этом оценивается предложение участника с учетом предоставленных в заявке документов, подтверждающих квалификацию участника. В случае непредоставления документов, подтверждающих квалификацию участника, такому участнику присваивается рейтинг, равный нулю баллов.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Рейтинг участника по критерию вычисляется как сумма рейтингов по всем показателям оценки заявки и корректируется с учетом значимости критерия.</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Итоговый рейтинг заявки (предложения) вычисляется как сумма рейтингов по каждому критерию оценки заявки (предложения).</w:t>
      </w:r>
    </w:p>
    <w:p w:rsidR="00C62908" w:rsidRPr="00C62908" w:rsidRDefault="00C62908" w:rsidP="00C62908">
      <w:pPr>
        <w:pStyle w:val="a3"/>
        <w:autoSpaceDE w:val="0"/>
        <w:autoSpaceDN w:val="0"/>
        <w:adjustRightInd w:val="0"/>
        <w:spacing w:after="0" w:line="240" w:lineRule="auto"/>
        <w:ind w:firstLine="709"/>
        <w:jc w:val="both"/>
        <w:rPr>
          <w:rFonts w:ascii="Times New Roman" w:hAnsi="Times New Roman" w:cs="Times New Roman"/>
          <w:sz w:val="28"/>
          <w:szCs w:val="28"/>
        </w:rPr>
      </w:pPr>
      <w:r w:rsidRPr="00C62908">
        <w:rPr>
          <w:rFonts w:ascii="Times New Roman" w:hAnsi="Times New Roman" w:cs="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62908" w:rsidRDefault="00C62908" w:rsidP="002908D2">
      <w:pPr>
        <w:pStyle w:val="a3"/>
        <w:autoSpaceDE w:val="0"/>
        <w:autoSpaceDN w:val="0"/>
        <w:adjustRightInd w:val="0"/>
        <w:spacing w:after="0" w:line="240" w:lineRule="auto"/>
        <w:ind w:left="0" w:firstLine="709"/>
        <w:jc w:val="both"/>
        <w:rPr>
          <w:rFonts w:ascii="Times New Roman" w:hAnsi="Times New Roman" w:cs="Times New Roman"/>
          <w:sz w:val="28"/>
          <w:szCs w:val="28"/>
        </w:rPr>
      </w:pPr>
    </w:p>
    <w:sectPr w:rsidR="00C62908" w:rsidSect="002022DE">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B0" w:rsidRDefault="004532B0" w:rsidP="002022DE">
      <w:pPr>
        <w:spacing w:after="0" w:line="240" w:lineRule="auto"/>
      </w:pPr>
      <w:r>
        <w:separator/>
      </w:r>
    </w:p>
  </w:endnote>
  <w:endnote w:type="continuationSeparator" w:id="0">
    <w:p w:rsidR="004532B0" w:rsidRDefault="004532B0" w:rsidP="0020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D1" w:rsidRDefault="00876E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D1" w:rsidRDefault="00876ED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D1" w:rsidRDefault="00876E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B0" w:rsidRDefault="004532B0" w:rsidP="002022DE">
      <w:pPr>
        <w:spacing w:after="0" w:line="240" w:lineRule="auto"/>
      </w:pPr>
      <w:r>
        <w:separator/>
      </w:r>
    </w:p>
  </w:footnote>
  <w:footnote w:type="continuationSeparator" w:id="0">
    <w:p w:rsidR="004532B0" w:rsidRDefault="004532B0" w:rsidP="0020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D1" w:rsidRDefault="00876E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07197"/>
      <w:docPartObj>
        <w:docPartGallery w:val="Page Numbers (Top of Page)"/>
        <w:docPartUnique/>
      </w:docPartObj>
    </w:sdtPr>
    <w:sdtEndPr/>
    <w:sdtContent>
      <w:p w:rsidR="00876ED1" w:rsidRDefault="0023439F">
        <w:pPr>
          <w:pStyle w:val="a8"/>
          <w:jc w:val="center"/>
        </w:pPr>
        <w:r w:rsidRPr="002022DE">
          <w:rPr>
            <w:rFonts w:ascii="Times New Roman" w:hAnsi="Times New Roman" w:cs="Times New Roman"/>
            <w:sz w:val="28"/>
            <w:szCs w:val="28"/>
          </w:rPr>
          <w:fldChar w:fldCharType="begin"/>
        </w:r>
        <w:r w:rsidR="00876ED1" w:rsidRPr="002022DE">
          <w:rPr>
            <w:rFonts w:ascii="Times New Roman" w:hAnsi="Times New Roman" w:cs="Times New Roman"/>
            <w:sz w:val="28"/>
            <w:szCs w:val="28"/>
          </w:rPr>
          <w:instrText>PAGE   \* MERGEFORMAT</w:instrText>
        </w:r>
        <w:r w:rsidRPr="002022DE">
          <w:rPr>
            <w:rFonts w:ascii="Times New Roman" w:hAnsi="Times New Roman" w:cs="Times New Roman"/>
            <w:sz w:val="28"/>
            <w:szCs w:val="28"/>
          </w:rPr>
          <w:fldChar w:fldCharType="separate"/>
        </w:r>
        <w:r w:rsidR="00790480">
          <w:rPr>
            <w:rFonts w:ascii="Times New Roman" w:hAnsi="Times New Roman" w:cs="Times New Roman"/>
            <w:noProof/>
            <w:sz w:val="28"/>
            <w:szCs w:val="28"/>
          </w:rPr>
          <w:t>2</w:t>
        </w:r>
        <w:r w:rsidRPr="002022DE">
          <w:rPr>
            <w:rFonts w:ascii="Times New Roman" w:hAnsi="Times New Roman" w:cs="Times New Roman"/>
            <w:sz w:val="28"/>
            <w:szCs w:val="28"/>
          </w:rPr>
          <w:fldChar w:fldCharType="end"/>
        </w:r>
      </w:p>
    </w:sdtContent>
  </w:sdt>
  <w:p w:rsidR="00876ED1" w:rsidRDefault="00876E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D1" w:rsidRDefault="00876E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63F"/>
    <w:multiLevelType w:val="hybridMultilevel"/>
    <w:tmpl w:val="C3E236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4B1814"/>
    <w:multiLevelType w:val="hybridMultilevel"/>
    <w:tmpl w:val="FE06AEB4"/>
    <w:lvl w:ilvl="0" w:tplc="DD0A4EBC">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8276BBE"/>
    <w:multiLevelType w:val="hybridMultilevel"/>
    <w:tmpl w:val="A86A647A"/>
    <w:lvl w:ilvl="0" w:tplc="F0904C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41F25"/>
    <w:multiLevelType w:val="hybridMultilevel"/>
    <w:tmpl w:val="BE88FE22"/>
    <w:lvl w:ilvl="0" w:tplc="924E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11458F"/>
    <w:multiLevelType w:val="hybridMultilevel"/>
    <w:tmpl w:val="BE88FE22"/>
    <w:lvl w:ilvl="0" w:tplc="924E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E20B09"/>
    <w:multiLevelType w:val="hybridMultilevel"/>
    <w:tmpl w:val="853CDE90"/>
    <w:lvl w:ilvl="0" w:tplc="898AD6E6">
      <w:start w:val="1"/>
      <w:numFmt w:val="decimal"/>
      <w:lvlText w:val="%1."/>
      <w:lvlJc w:val="left"/>
      <w:pPr>
        <w:ind w:left="720" w:hanging="360"/>
      </w:pPr>
      <w:rPr>
        <w:rFonts w:hint="default"/>
        <w:b/>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 w15:restartNumberingAfterBreak="0">
    <w:nsid w:val="28DD5878"/>
    <w:multiLevelType w:val="hybridMultilevel"/>
    <w:tmpl w:val="AD449B8C"/>
    <w:lvl w:ilvl="0" w:tplc="C0889DF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0BC1"/>
    <w:multiLevelType w:val="multilevel"/>
    <w:tmpl w:val="B6E277F2"/>
    <w:lvl w:ilvl="0">
      <w:start w:val="1"/>
      <w:numFmt w:val="decimal"/>
      <w:pStyle w:val="1"/>
      <w:lvlText w:val="%1."/>
      <w:lvlJc w:val="left"/>
      <w:pPr>
        <w:tabs>
          <w:tab w:val="num" w:pos="432"/>
        </w:tabs>
        <w:ind w:left="432" w:hanging="432"/>
      </w:pPr>
      <w:rPr>
        <w:b/>
        <w:bCs/>
      </w:rPr>
    </w:lvl>
    <w:lvl w:ilvl="1">
      <w:start w:val="1"/>
      <w:numFmt w:val="decimal"/>
      <w:lvlText w:val="%1.%2"/>
      <w:lvlJc w:val="left"/>
      <w:pPr>
        <w:tabs>
          <w:tab w:val="num" w:pos="1416"/>
        </w:tabs>
        <w:ind w:left="1416" w:hanging="576"/>
      </w:pPr>
    </w:lvl>
    <w:lvl w:ilvl="2">
      <w:start w:val="1"/>
      <w:numFmt w:val="decimal"/>
      <w:pStyle w:val="3"/>
      <w:lvlText w:val="%1.%2.%3"/>
      <w:lvlJc w:val="left"/>
      <w:pPr>
        <w:tabs>
          <w:tab w:val="num" w:pos="1307"/>
        </w:tabs>
        <w:ind w:left="1080"/>
      </w:pPr>
      <w:rPr>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0F10FBF"/>
    <w:multiLevelType w:val="hybridMultilevel"/>
    <w:tmpl w:val="C3E236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CD95941"/>
    <w:multiLevelType w:val="hybridMultilevel"/>
    <w:tmpl w:val="D9B21532"/>
    <w:lvl w:ilvl="0" w:tplc="BDE6BB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4"/>
  </w:num>
  <w:num w:numId="6">
    <w:abstractNumId w:val="5"/>
  </w:num>
  <w:num w:numId="7">
    <w:abstractNumId w:val="1"/>
  </w:num>
  <w:num w:numId="8">
    <w:abstractNumId w:val="9"/>
  </w:num>
  <w:num w:numId="9">
    <w:abstractNumId w:val="2"/>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D5"/>
    <w:rsid w:val="000117F0"/>
    <w:rsid w:val="00021DE2"/>
    <w:rsid w:val="00023B56"/>
    <w:rsid w:val="000318E9"/>
    <w:rsid w:val="00042B4A"/>
    <w:rsid w:val="000627BF"/>
    <w:rsid w:val="0007243B"/>
    <w:rsid w:val="00076C97"/>
    <w:rsid w:val="000838D6"/>
    <w:rsid w:val="000870F5"/>
    <w:rsid w:val="000975AB"/>
    <w:rsid w:val="000B5E71"/>
    <w:rsid w:val="000B65B7"/>
    <w:rsid w:val="000E613C"/>
    <w:rsid w:val="000F1CC8"/>
    <w:rsid w:val="000F2A7F"/>
    <w:rsid w:val="00106D3C"/>
    <w:rsid w:val="00116FFA"/>
    <w:rsid w:val="0014343D"/>
    <w:rsid w:val="00182BA1"/>
    <w:rsid w:val="00183A7E"/>
    <w:rsid w:val="00187600"/>
    <w:rsid w:val="001A0D7B"/>
    <w:rsid w:val="001A7B5F"/>
    <w:rsid w:val="001C0A03"/>
    <w:rsid w:val="001E2E56"/>
    <w:rsid w:val="001E4036"/>
    <w:rsid w:val="001E4802"/>
    <w:rsid w:val="001E5300"/>
    <w:rsid w:val="001F1CBF"/>
    <w:rsid w:val="001F2213"/>
    <w:rsid w:val="001F3993"/>
    <w:rsid w:val="001F5958"/>
    <w:rsid w:val="00201A96"/>
    <w:rsid w:val="002022DE"/>
    <w:rsid w:val="0020451B"/>
    <w:rsid w:val="00222E88"/>
    <w:rsid w:val="0023439F"/>
    <w:rsid w:val="00234693"/>
    <w:rsid w:val="0024334B"/>
    <w:rsid w:val="00247A1D"/>
    <w:rsid w:val="00256F61"/>
    <w:rsid w:val="0026363A"/>
    <w:rsid w:val="00277B9F"/>
    <w:rsid w:val="00282124"/>
    <w:rsid w:val="00282A4B"/>
    <w:rsid w:val="002864C0"/>
    <w:rsid w:val="002908D2"/>
    <w:rsid w:val="002925EE"/>
    <w:rsid w:val="00292796"/>
    <w:rsid w:val="00293111"/>
    <w:rsid w:val="002A1E4C"/>
    <w:rsid w:val="002B7798"/>
    <w:rsid w:val="002C3A73"/>
    <w:rsid w:val="002D0CAF"/>
    <w:rsid w:val="002D10CC"/>
    <w:rsid w:val="002E495A"/>
    <w:rsid w:val="002F08D1"/>
    <w:rsid w:val="00315B2F"/>
    <w:rsid w:val="00331994"/>
    <w:rsid w:val="003354C1"/>
    <w:rsid w:val="00354912"/>
    <w:rsid w:val="00360B0D"/>
    <w:rsid w:val="00367537"/>
    <w:rsid w:val="00367781"/>
    <w:rsid w:val="003719BD"/>
    <w:rsid w:val="003744BD"/>
    <w:rsid w:val="00376515"/>
    <w:rsid w:val="00381512"/>
    <w:rsid w:val="003923C8"/>
    <w:rsid w:val="003B2876"/>
    <w:rsid w:val="003D02EB"/>
    <w:rsid w:val="003D6013"/>
    <w:rsid w:val="003E2DC1"/>
    <w:rsid w:val="003E5247"/>
    <w:rsid w:val="00401165"/>
    <w:rsid w:val="00407F78"/>
    <w:rsid w:val="004128AE"/>
    <w:rsid w:val="00420C49"/>
    <w:rsid w:val="0042358C"/>
    <w:rsid w:val="004343FC"/>
    <w:rsid w:val="00442B4E"/>
    <w:rsid w:val="00451914"/>
    <w:rsid w:val="004532B0"/>
    <w:rsid w:val="00462220"/>
    <w:rsid w:val="0046378E"/>
    <w:rsid w:val="00482A33"/>
    <w:rsid w:val="004846E0"/>
    <w:rsid w:val="004847D3"/>
    <w:rsid w:val="004A28DD"/>
    <w:rsid w:val="004A4CBF"/>
    <w:rsid w:val="004A75AB"/>
    <w:rsid w:val="004D0FD8"/>
    <w:rsid w:val="004D5029"/>
    <w:rsid w:val="004D63DD"/>
    <w:rsid w:val="0051673F"/>
    <w:rsid w:val="00547CF8"/>
    <w:rsid w:val="005519AC"/>
    <w:rsid w:val="005727AA"/>
    <w:rsid w:val="00582A75"/>
    <w:rsid w:val="0058721E"/>
    <w:rsid w:val="00594D74"/>
    <w:rsid w:val="005C4490"/>
    <w:rsid w:val="005C4595"/>
    <w:rsid w:val="005C4AC0"/>
    <w:rsid w:val="005C6D3A"/>
    <w:rsid w:val="005F0897"/>
    <w:rsid w:val="005F5488"/>
    <w:rsid w:val="005F7E1C"/>
    <w:rsid w:val="00612FA7"/>
    <w:rsid w:val="00623766"/>
    <w:rsid w:val="00626DB8"/>
    <w:rsid w:val="00654502"/>
    <w:rsid w:val="00660358"/>
    <w:rsid w:val="00665958"/>
    <w:rsid w:val="00666E19"/>
    <w:rsid w:val="00676BB1"/>
    <w:rsid w:val="006A0419"/>
    <w:rsid w:val="006A2B15"/>
    <w:rsid w:val="006A50D2"/>
    <w:rsid w:val="006B0CB8"/>
    <w:rsid w:val="006B7162"/>
    <w:rsid w:val="006C6EE6"/>
    <w:rsid w:val="006E4D6A"/>
    <w:rsid w:val="00700392"/>
    <w:rsid w:val="00704361"/>
    <w:rsid w:val="00710914"/>
    <w:rsid w:val="00724984"/>
    <w:rsid w:val="00734983"/>
    <w:rsid w:val="00743662"/>
    <w:rsid w:val="00743AB6"/>
    <w:rsid w:val="0074719B"/>
    <w:rsid w:val="007665D7"/>
    <w:rsid w:val="00766A94"/>
    <w:rsid w:val="00783CAA"/>
    <w:rsid w:val="00783DE3"/>
    <w:rsid w:val="00787C4D"/>
    <w:rsid w:val="00790480"/>
    <w:rsid w:val="007943FA"/>
    <w:rsid w:val="007949A4"/>
    <w:rsid w:val="007A4992"/>
    <w:rsid w:val="007A613A"/>
    <w:rsid w:val="007C0CAD"/>
    <w:rsid w:val="007C1A04"/>
    <w:rsid w:val="007C6E9A"/>
    <w:rsid w:val="007C7ADF"/>
    <w:rsid w:val="007E2F22"/>
    <w:rsid w:val="007E7E35"/>
    <w:rsid w:val="007F41D1"/>
    <w:rsid w:val="008105DC"/>
    <w:rsid w:val="008231F3"/>
    <w:rsid w:val="00873527"/>
    <w:rsid w:val="008742A4"/>
    <w:rsid w:val="008743D8"/>
    <w:rsid w:val="00876ED1"/>
    <w:rsid w:val="00880704"/>
    <w:rsid w:val="0088525F"/>
    <w:rsid w:val="00890340"/>
    <w:rsid w:val="008A0A94"/>
    <w:rsid w:val="008B126D"/>
    <w:rsid w:val="008B6105"/>
    <w:rsid w:val="008C64DA"/>
    <w:rsid w:val="008D4ABB"/>
    <w:rsid w:val="008D7902"/>
    <w:rsid w:val="008E2D59"/>
    <w:rsid w:val="008E4DC8"/>
    <w:rsid w:val="008E51FB"/>
    <w:rsid w:val="008F62A4"/>
    <w:rsid w:val="0090026A"/>
    <w:rsid w:val="00902A74"/>
    <w:rsid w:val="0090540D"/>
    <w:rsid w:val="00920C81"/>
    <w:rsid w:val="00923AC8"/>
    <w:rsid w:val="009252E8"/>
    <w:rsid w:val="00927C62"/>
    <w:rsid w:val="00935C97"/>
    <w:rsid w:val="00946E45"/>
    <w:rsid w:val="00947016"/>
    <w:rsid w:val="00971DAD"/>
    <w:rsid w:val="0097452C"/>
    <w:rsid w:val="0098454F"/>
    <w:rsid w:val="009846DB"/>
    <w:rsid w:val="00995FE4"/>
    <w:rsid w:val="009B5C15"/>
    <w:rsid w:val="009C382E"/>
    <w:rsid w:val="009C5447"/>
    <w:rsid w:val="009E72E0"/>
    <w:rsid w:val="009E72FB"/>
    <w:rsid w:val="009F4CA9"/>
    <w:rsid w:val="00A17C8E"/>
    <w:rsid w:val="00A213E3"/>
    <w:rsid w:val="00A25D24"/>
    <w:rsid w:val="00A2719F"/>
    <w:rsid w:val="00A31339"/>
    <w:rsid w:val="00A56CBF"/>
    <w:rsid w:val="00A61600"/>
    <w:rsid w:val="00A649FD"/>
    <w:rsid w:val="00A743EF"/>
    <w:rsid w:val="00A7723D"/>
    <w:rsid w:val="00A84DC0"/>
    <w:rsid w:val="00A95EDB"/>
    <w:rsid w:val="00AA77DD"/>
    <w:rsid w:val="00AC7CE0"/>
    <w:rsid w:val="00AD09CE"/>
    <w:rsid w:val="00AD21EA"/>
    <w:rsid w:val="00AD2F82"/>
    <w:rsid w:val="00AF0F82"/>
    <w:rsid w:val="00AF5DF7"/>
    <w:rsid w:val="00AF6A90"/>
    <w:rsid w:val="00B05F9A"/>
    <w:rsid w:val="00B13B45"/>
    <w:rsid w:val="00B15443"/>
    <w:rsid w:val="00B168F5"/>
    <w:rsid w:val="00B2408C"/>
    <w:rsid w:val="00B34530"/>
    <w:rsid w:val="00B47DA8"/>
    <w:rsid w:val="00B500D1"/>
    <w:rsid w:val="00B509EC"/>
    <w:rsid w:val="00B54D95"/>
    <w:rsid w:val="00B66547"/>
    <w:rsid w:val="00B716B1"/>
    <w:rsid w:val="00B727F6"/>
    <w:rsid w:val="00B776BA"/>
    <w:rsid w:val="00BA3FED"/>
    <w:rsid w:val="00BA6D50"/>
    <w:rsid w:val="00BC0364"/>
    <w:rsid w:val="00BE0B76"/>
    <w:rsid w:val="00BF1A60"/>
    <w:rsid w:val="00C15956"/>
    <w:rsid w:val="00C36C53"/>
    <w:rsid w:val="00C54488"/>
    <w:rsid w:val="00C61936"/>
    <w:rsid w:val="00C62908"/>
    <w:rsid w:val="00C72CA9"/>
    <w:rsid w:val="00C7421C"/>
    <w:rsid w:val="00CA5CCD"/>
    <w:rsid w:val="00CA73B2"/>
    <w:rsid w:val="00CB2020"/>
    <w:rsid w:val="00CB2ABF"/>
    <w:rsid w:val="00CC0D73"/>
    <w:rsid w:val="00CC4274"/>
    <w:rsid w:val="00CE0D0B"/>
    <w:rsid w:val="00CE516A"/>
    <w:rsid w:val="00CE5E64"/>
    <w:rsid w:val="00CF1B10"/>
    <w:rsid w:val="00CF55DD"/>
    <w:rsid w:val="00CF595B"/>
    <w:rsid w:val="00D2318D"/>
    <w:rsid w:val="00D23761"/>
    <w:rsid w:val="00D3789E"/>
    <w:rsid w:val="00D401FF"/>
    <w:rsid w:val="00D472E8"/>
    <w:rsid w:val="00D54FC6"/>
    <w:rsid w:val="00D56717"/>
    <w:rsid w:val="00D62FF5"/>
    <w:rsid w:val="00D83223"/>
    <w:rsid w:val="00DB3227"/>
    <w:rsid w:val="00DB3C46"/>
    <w:rsid w:val="00DD53F9"/>
    <w:rsid w:val="00DD5C34"/>
    <w:rsid w:val="00DD6275"/>
    <w:rsid w:val="00DE6FA3"/>
    <w:rsid w:val="00DE78F6"/>
    <w:rsid w:val="00DF2F59"/>
    <w:rsid w:val="00DF5223"/>
    <w:rsid w:val="00E05148"/>
    <w:rsid w:val="00E132E9"/>
    <w:rsid w:val="00E1458D"/>
    <w:rsid w:val="00E213F7"/>
    <w:rsid w:val="00E2190F"/>
    <w:rsid w:val="00E31BEA"/>
    <w:rsid w:val="00E3662B"/>
    <w:rsid w:val="00E50421"/>
    <w:rsid w:val="00E53040"/>
    <w:rsid w:val="00E54DBA"/>
    <w:rsid w:val="00E67C54"/>
    <w:rsid w:val="00E84357"/>
    <w:rsid w:val="00E87A62"/>
    <w:rsid w:val="00E90A14"/>
    <w:rsid w:val="00E92EE2"/>
    <w:rsid w:val="00EA7B3E"/>
    <w:rsid w:val="00EB3CE2"/>
    <w:rsid w:val="00EB79D7"/>
    <w:rsid w:val="00EC6C7C"/>
    <w:rsid w:val="00EC6EDE"/>
    <w:rsid w:val="00ED328D"/>
    <w:rsid w:val="00ED5C24"/>
    <w:rsid w:val="00EF5C43"/>
    <w:rsid w:val="00F23333"/>
    <w:rsid w:val="00F33C5B"/>
    <w:rsid w:val="00F3402F"/>
    <w:rsid w:val="00F53249"/>
    <w:rsid w:val="00F570A5"/>
    <w:rsid w:val="00F672D5"/>
    <w:rsid w:val="00F71371"/>
    <w:rsid w:val="00F722AF"/>
    <w:rsid w:val="00F7510E"/>
    <w:rsid w:val="00F868DF"/>
    <w:rsid w:val="00F9008F"/>
    <w:rsid w:val="00F91540"/>
    <w:rsid w:val="00F9587C"/>
    <w:rsid w:val="00FA2BCB"/>
    <w:rsid w:val="00FA6517"/>
    <w:rsid w:val="00FB2929"/>
    <w:rsid w:val="00FC2AB1"/>
    <w:rsid w:val="00FC7680"/>
    <w:rsid w:val="00FD7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C0340-9E38-4FF7-8812-4E77740B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B66547"/>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Курсив"/>
    <w:rsid w:val="00B6654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0">
    <w:name w:val="Основной текст (2)"/>
    <w:rsid w:val="00B665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Курсив"/>
    <w:rsid w:val="00B665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paragraph" w:customStyle="1" w:styleId="1">
    <w:name w:val="Стиль1"/>
    <w:basedOn w:val="a"/>
    <w:uiPriority w:val="99"/>
    <w:rsid w:val="00B66547"/>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3">
    <w:name w:val="Стиль3 Знак"/>
    <w:basedOn w:val="21"/>
    <w:uiPriority w:val="99"/>
    <w:rsid w:val="00B66547"/>
    <w:pPr>
      <w:widowControl w:val="0"/>
      <w:numPr>
        <w:ilvl w:val="2"/>
        <w:numId w:val="1"/>
      </w:numPr>
      <w:tabs>
        <w:tab w:val="clear" w:pos="1307"/>
        <w:tab w:val="num" w:pos="360"/>
      </w:tabs>
      <w:adjustRightInd w:val="0"/>
      <w:spacing w:after="0" w:line="240" w:lineRule="auto"/>
      <w:ind w:left="283"/>
      <w:jc w:val="both"/>
    </w:pPr>
    <w:rPr>
      <w:rFonts w:ascii="Arial" w:eastAsia="Times New Roman" w:hAnsi="Arial" w:cs="Arial"/>
      <w:sz w:val="24"/>
      <w:szCs w:val="24"/>
      <w:lang w:eastAsia="ru-RU"/>
    </w:rPr>
  </w:style>
  <w:style w:type="paragraph" w:styleId="21">
    <w:name w:val="Body Text Indent 2"/>
    <w:basedOn w:val="a"/>
    <w:link w:val="22"/>
    <w:uiPriority w:val="99"/>
    <w:semiHidden/>
    <w:unhideWhenUsed/>
    <w:rsid w:val="00B66547"/>
    <w:pPr>
      <w:spacing w:after="120" w:line="480" w:lineRule="auto"/>
      <w:ind w:left="283"/>
    </w:pPr>
  </w:style>
  <w:style w:type="character" w:customStyle="1" w:styleId="22">
    <w:name w:val="Основной текст с отступом 2 Знак"/>
    <w:basedOn w:val="a0"/>
    <w:link w:val="21"/>
    <w:uiPriority w:val="99"/>
    <w:semiHidden/>
    <w:rsid w:val="00B66547"/>
  </w:style>
  <w:style w:type="paragraph" w:styleId="a3">
    <w:name w:val="List Paragraph"/>
    <w:basedOn w:val="a"/>
    <w:uiPriority w:val="34"/>
    <w:qFormat/>
    <w:rsid w:val="007C0CAD"/>
    <w:pPr>
      <w:ind w:left="720"/>
      <w:contextualSpacing/>
    </w:pPr>
  </w:style>
  <w:style w:type="character" w:styleId="a4">
    <w:name w:val="Hyperlink"/>
    <w:basedOn w:val="a0"/>
    <w:uiPriority w:val="99"/>
    <w:unhideWhenUsed/>
    <w:rsid w:val="00EC6C7C"/>
    <w:rPr>
      <w:color w:val="0000FF" w:themeColor="hyperlink"/>
      <w:u w:val="single"/>
    </w:rPr>
  </w:style>
  <w:style w:type="paragraph" w:customStyle="1" w:styleId="NewNormal">
    <w:name w:val="_New_Normal"/>
    <w:link w:val="NewNormal0"/>
    <w:rsid w:val="00EC6C7C"/>
    <w:pPr>
      <w:spacing w:before="120" w:after="120" w:line="360" w:lineRule="auto"/>
      <w:ind w:firstLine="567"/>
      <w:jc w:val="both"/>
    </w:pPr>
    <w:rPr>
      <w:rFonts w:ascii="Times New Roman" w:eastAsia="Calibri" w:hAnsi="Times New Roman" w:cs="Times New Roman"/>
      <w:sz w:val="24"/>
      <w:szCs w:val="24"/>
      <w:lang w:eastAsia="ru-RU"/>
    </w:rPr>
  </w:style>
  <w:style w:type="character" w:customStyle="1" w:styleId="NewNormal0">
    <w:name w:val="_New_Normal Знак Знак"/>
    <w:link w:val="NewNormal"/>
    <w:locked/>
    <w:rsid w:val="00EC6C7C"/>
    <w:rPr>
      <w:rFonts w:ascii="Times New Roman" w:eastAsia="Calibri" w:hAnsi="Times New Roman" w:cs="Times New Roman"/>
      <w:sz w:val="24"/>
      <w:szCs w:val="24"/>
      <w:lang w:eastAsia="ru-RU"/>
    </w:rPr>
  </w:style>
  <w:style w:type="character" w:customStyle="1" w:styleId="a5">
    <w:name w:val="Основной текст_"/>
    <w:link w:val="10"/>
    <w:rsid w:val="004847D3"/>
    <w:rPr>
      <w:rFonts w:ascii="Times New Roman" w:eastAsia="Times New Roman" w:hAnsi="Times New Roman"/>
      <w:sz w:val="21"/>
      <w:szCs w:val="21"/>
      <w:shd w:val="clear" w:color="auto" w:fill="FFFFFF"/>
    </w:rPr>
  </w:style>
  <w:style w:type="paragraph" w:customStyle="1" w:styleId="10">
    <w:name w:val="Основной текст1"/>
    <w:basedOn w:val="a"/>
    <w:link w:val="a5"/>
    <w:rsid w:val="004847D3"/>
    <w:pPr>
      <w:widowControl w:val="0"/>
      <w:shd w:val="clear" w:color="auto" w:fill="FFFFFF"/>
      <w:spacing w:after="240" w:line="274" w:lineRule="exact"/>
      <w:ind w:firstLine="220"/>
      <w:jc w:val="both"/>
    </w:pPr>
    <w:rPr>
      <w:rFonts w:ascii="Times New Roman" w:eastAsia="Times New Roman" w:hAnsi="Times New Roman"/>
      <w:sz w:val="21"/>
      <w:szCs w:val="21"/>
    </w:rPr>
  </w:style>
  <w:style w:type="paragraph" w:styleId="a6">
    <w:name w:val="Balloon Text"/>
    <w:basedOn w:val="a"/>
    <w:link w:val="a7"/>
    <w:uiPriority w:val="99"/>
    <w:semiHidden/>
    <w:unhideWhenUsed/>
    <w:rsid w:val="00666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E19"/>
    <w:rPr>
      <w:rFonts w:ascii="Tahoma" w:hAnsi="Tahoma" w:cs="Tahoma"/>
      <w:sz w:val="16"/>
      <w:szCs w:val="16"/>
    </w:rPr>
  </w:style>
  <w:style w:type="paragraph" w:styleId="a8">
    <w:name w:val="header"/>
    <w:basedOn w:val="a"/>
    <w:link w:val="a9"/>
    <w:uiPriority w:val="99"/>
    <w:unhideWhenUsed/>
    <w:rsid w:val="002022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2DE"/>
  </w:style>
  <w:style w:type="paragraph" w:styleId="aa">
    <w:name w:val="footer"/>
    <w:basedOn w:val="a"/>
    <w:link w:val="ab"/>
    <w:uiPriority w:val="99"/>
    <w:unhideWhenUsed/>
    <w:rsid w:val="002022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2DE"/>
  </w:style>
  <w:style w:type="paragraph" w:customStyle="1" w:styleId="ConsPlusNormal">
    <w:name w:val="ConsPlusNormal"/>
    <w:link w:val="ConsPlusNormal0"/>
    <w:rsid w:val="00AF5DF7"/>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AF5DF7"/>
    <w:rPr>
      <w:rFonts w:ascii="Arial" w:eastAsia="Times New Roman" w:hAnsi="Arial" w:cs="Arial"/>
      <w:lang w:eastAsia="ar-SA"/>
    </w:rPr>
  </w:style>
  <w:style w:type="paragraph" w:styleId="ac">
    <w:name w:val="annotation text"/>
    <w:basedOn w:val="a"/>
    <w:link w:val="ad"/>
    <w:uiPriority w:val="99"/>
    <w:unhideWhenUsed/>
    <w:rsid w:val="00DD53F9"/>
    <w:pPr>
      <w:spacing w:after="0" w:line="240" w:lineRule="auto"/>
    </w:pPr>
    <w:rPr>
      <w:rFonts w:ascii="Calibri" w:eastAsia="Times New Roman" w:hAnsi="Calibri" w:cs="Times New Roman"/>
      <w:sz w:val="20"/>
      <w:szCs w:val="20"/>
      <w:lang w:val="en-US" w:bidi="en-US"/>
    </w:rPr>
  </w:style>
  <w:style w:type="character" w:customStyle="1" w:styleId="ad">
    <w:name w:val="Текст примечания Знак"/>
    <w:basedOn w:val="a0"/>
    <w:link w:val="ac"/>
    <w:uiPriority w:val="99"/>
    <w:rsid w:val="00DD53F9"/>
    <w:rPr>
      <w:rFonts w:ascii="Calibri" w:eastAsia="Times New Roman" w:hAnsi="Calibri" w:cs="Times New Roman"/>
      <w:sz w:val="20"/>
      <w:szCs w:val="20"/>
      <w:lang w:val="en-US" w:bidi="en-US"/>
    </w:rPr>
  </w:style>
  <w:style w:type="table" w:styleId="ae">
    <w:name w:val="Table Grid"/>
    <w:basedOn w:val="a1"/>
    <w:uiPriority w:val="59"/>
    <w:rsid w:val="0029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
    <w:uiPriority w:val="99"/>
    <w:rsid w:val="00612FA7"/>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61">
    <w:name w:val="Font Style61"/>
    <w:uiPriority w:val="99"/>
    <w:rsid w:val="00612FA7"/>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6CCA-48C0-42C6-8885-8BDB30CF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3</cp:revision>
  <cp:lastPrinted>2021-03-25T13:12:00Z</cp:lastPrinted>
  <dcterms:created xsi:type="dcterms:W3CDTF">2021-05-12T08:00:00Z</dcterms:created>
  <dcterms:modified xsi:type="dcterms:W3CDTF">2021-05-12T08:00:00Z</dcterms:modified>
</cp:coreProperties>
</file>